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2A0D" w14:textId="77777777" w:rsidR="00FE5001" w:rsidRDefault="00FE5001" w:rsidP="008E7002">
      <w:pPr>
        <w:tabs>
          <w:tab w:val="left" w:pos="-720"/>
        </w:tabs>
        <w:suppressAutoHyphens/>
        <w:spacing w:after="0" w:line="240" w:lineRule="auto"/>
        <w:jc w:val="center"/>
        <w:rPr>
          <w:rFonts w:ascii="Times New Roman" w:eastAsia="Times New Roman" w:hAnsi="Times New Roman" w:cs="Times New Roman"/>
          <w:b/>
          <w:i/>
          <w:spacing w:val="-2"/>
          <w:u w:val="single"/>
          <w:lang w:val="es-ES_tradnl" w:eastAsia="es-ES"/>
        </w:rPr>
      </w:pPr>
    </w:p>
    <w:p w14:paraId="56AF4F84" w14:textId="7C497338" w:rsidR="00B53B45" w:rsidRPr="00FE5001" w:rsidRDefault="00B53B45" w:rsidP="008E7002">
      <w:pPr>
        <w:tabs>
          <w:tab w:val="left" w:pos="-720"/>
        </w:tabs>
        <w:suppressAutoHyphens/>
        <w:spacing w:after="0" w:line="240" w:lineRule="auto"/>
        <w:jc w:val="center"/>
        <w:rPr>
          <w:rFonts w:ascii="Times New Roman" w:eastAsia="Times New Roman" w:hAnsi="Times New Roman" w:cs="Times New Roman"/>
          <w:b/>
          <w:i/>
          <w:spacing w:val="-2"/>
          <w:u w:val="single"/>
          <w:lang w:val="es-ES_tradnl" w:eastAsia="es-ES"/>
        </w:rPr>
      </w:pPr>
      <w:r w:rsidRPr="00FE5001">
        <w:rPr>
          <w:rFonts w:ascii="Times New Roman" w:eastAsia="Times New Roman" w:hAnsi="Times New Roman" w:cs="Times New Roman"/>
          <w:b/>
          <w:i/>
          <w:spacing w:val="-2"/>
          <w:u w:val="single"/>
          <w:lang w:val="es-ES_tradnl" w:eastAsia="es-ES"/>
        </w:rPr>
        <w:t>MEMORIA</w:t>
      </w:r>
    </w:p>
    <w:p w14:paraId="1E8A7191" w14:textId="5740E354" w:rsidR="00B53B45" w:rsidRPr="00FE5001" w:rsidRDefault="00B53B45" w:rsidP="008E7002">
      <w:pPr>
        <w:tabs>
          <w:tab w:val="left" w:pos="-720"/>
          <w:tab w:val="left" w:pos="6480"/>
        </w:tabs>
        <w:suppressAutoHyphens/>
        <w:spacing w:after="0" w:line="240" w:lineRule="auto"/>
        <w:rPr>
          <w:rFonts w:ascii="Times New Roman" w:eastAsia="Times New Roman" w:hAnsi="Times New Roman" w:cs="Times New Roman"/>
          <w:b/>
          <w:i/>
          <w:spacing w:val="-2"/>
          <w:u w:val="single"/>
          <w:lang w:val="es-ES_tradnl" w:eastAsia="es-ES"/>
        </w:rPr>
      </w:pPr>
      <w:r w:rsidRPr="00FE5001">
        <w:rPr>
          <w:rFonts w:ascii="Times New Roman" w:eastAsia="Times New Roman" w:hAnsi="Times New Roman" w:cs="Times New Roman"/>
          <w:b/>
          <w:i/>
          <w:spacing w:val="-2"/>
          <w:u w:val="single"/>
          <w:lang w:val="es-ES_tradnl" w:eastAsia="es-ES"/>
        </w:rPr>
        <w:t>________________________________________________________________________</w:t>
      </w:r>
    </w:p>
    <w:p w14:paraId="40338FC2" w14:textId="77777777" w:rsidR="00B53B45" w:rsidRPr="00FE5001" w:rsidRDefault="00B53B45" w:rsidP="008E7002">
      <w:pPr>
        <w:tabs>
          <w:tab w:val="left" w:pos="-720"/>
        </w:tabs>
        <w:suppressAutoHyphens/>
        <w:spacing w:after="0" w:line="240" w:lineRule="auto"/>
        <w:jc w:val="center"/>
        <w:rPr>
          <w:rFonts w:ascii="Times New Roman" w:eastAsia="Times New Roman" w:hAnsi="Times New Roman" w:cs="Times New Roman"/>
          <w:b/>
          <w:spacing w:val="-2"/>
          <w:u w:val="single"/>
          <w:lang w:val="es-ES_tradnl" w:eastAsia="es-ES"/>
        </w:rPr>
      </w:pPr>
    </w:p>
    <w:p w14:paraId="151ED547" w14:textId="68F64A5B" w:rsidR="00B53B45" w:rsidRPr="00FE5001" w:rsidRDefault="00B53B45" w:rsidP="008E7002">
      <w:pPr>
        <w:tabs>
          <w:tab w:val="left" w:pos="-720"/>
        </w:tabs>
        <w:suppressAutoHyphens/>
        <w:spacing w:after="0" w:line="240" w:lineRule="auto"/>
        <w:jc w:val="both"/>
        <w:rPr>
          <w:rFonts w:ascii="Times New Roman" w:eastAsia="Times New Roman" w:hAnsi="Times New Roman" w:cs="Times New Roman"/>
          <w:i/>
          <w:spacing w:val="-2"/>
          <w:lang w:val="es-ES_tradnl" w:eastAsia="es-ES"/>
        </w:rPr>
      </w:pPr>
      <w:r w:rsidRPr="00FE5001">
        <w:rPr>
          <w:rFonts w:ascii="Times New Roman" w:eastAsia="Times New Roman" w:hAnsi="Times New Roman" w:cs="Times New Roman"/>
          <w:i/>
          <w:spacing w:val="-2"/>
          <w:lang w:val="es-ES_tradnl" w:eastAsia="es-ES"/>
        </w:rPr>
        <w:t>Señores Accionistas:</w:t>
      </w:r>
    </w:p>
    <w:p w14:paraId="5AE8C96D" w14:textId="77777777" w:rsidR="00B53B45" w:rsidRPr="00FE5001" w:rsidRDefault="00B53B45" w:rsidP="008E7002">
      <w:pPr>
        <w:tabs>
          <w:tab w:val="left" w:pos="-720"/>
        </w:tabs>
        <w:suppressAutoHyphens/>
        <w:spacing w:after="0" w:line="240" w:lineRule="auto"/>
        <w:jc w:val="both"/>
        <w:rPr>
          <w:rFonts w:ascii="Times New Roman" w:eastAsia="Times New Roman" w:hAnsi="Times New Roman" w:cs="Times New Roman"/>
          <w:i/>
          <w:spacing w:val="-2"/>
          <w:lang w:val="es-ES_tradnl" w:eastAsia="es-ES"/>
        </w:rPr>
      </w:pPr>
    </w:p>
    <w:p w14:paraId="2F844320" w14:textId="334564A9" w:rsidR="00B53B45" w:rsidRPr="00FE5001" w:rsidRDefault="00B53B45" w:rsidP="008E7002">
      <w:pPr>
        <w:tabs>
          <w:tab w:val="left" w:pos="-720"/>
        </w:tabs>
        <w:suppressAutoHyphens/>
        <w:spacing w:after="0" w:line="240" w:lineRule="auto"/>
        <w:jc w:val="both"/>
        <w:rPr>
          <w:rFonts w:ascii="Times New Roman" w:eastAsia="Times New Roman" w:hAnsi="Times New Roman" w:cs="Times New Roman"/>
          <w:i/>
          <w:spacing w:val="-2"/>
          <w:lang w:val="es-ES_tradnl" w:eastAsia="es-ES"/>
        </w:rPr>
      </w:pPr>
      <w:r w:rsidRPr="00FE5001">
        <w:rPr>
          <w:rFonts w:ascii="Times New Roman" w:eastAsia="Times New Roman" w:hAnsi="Times New Roman" w:cs="Times New Roman"/>
          <w:i/>
          <w:spacing w:val="-2"/>
          <w:lang w:val="es-ES_tradnl" w:eastAsia="es-ES"/>
        </w:rPr>
        <w:t xml:space="preserve">Con motivo del cierre del Ejercicio Económico Nro. </w:t>
      </w:r>
      <w:r w:rsidR="003F2322">
        <w:rPr>
          <w:rFonts w:ascii="Times New Roman" w:eastAsia="Times New Roman" w:hAnsi="Times New Roman" w:cs="Times New Roman"/>
          <w:i/>
          <w:spacing w:val="-2"/>
          <w:lang w:val="es-ES_tradnl" w:eastAsia="es-ES"/>
        </w:rPr>
        <w:t>79</w:t>
      </w:r>
      <w:r w:rsidRPr="00FE5001">
        <w:rPr>
          <w:rFonts w:ascii="Times New Roman" w:eastAsia="Times New Roman" w:hAnsi="Times New Roman" w:cs="Times New Roman"/>
          <w:i/>
          <w:spacing w:val="-2"/>
          <w:lang w:val="es-ES_tradnl" w:eastAsia="es-ES"/>
        </w:rPr>
        <w:t xml:space="preserve"> finalizado el 31 de octubre de 2021, nos es grato presentar a la consideración de los Señores Accionistas la documentación prescripta por el Art. 234, inc. 1°, de la Ley General de Sociedades.</w:t>
      </w:r>
    </w:p>
    <w:p w14:paraId="000FE504" w14:textId="77777777" w:rsidR="00B53B45" w:rsidRPr="00FE5001" w:rsidRDefault="00B53B45" w:rsidP="008E7002">
      <w:pPr>
        <w:tabs>
          <w:tab w:val="left" w:pos="-720"/>
        </w:tabs>
        <w:suppressAutoHyphens/>
        <w:spacing w:after="0" w:line="240" w:lineRule="auto"/>
        <w:jc w:val="center"/>
        <w:rPr>
          <w:rFonts w:ascii="Times New Roman" w:eastAsia="Times New Roman" w:hAnsi="Times New Roman" w:cs="Times New Roman"/>
          <w:b/>
          <w:spacing w:val="-2"/>
          <w:u w:val="single"/>
          <w:lang w:val="es-ES_tradnl" w:eastAsia="es-ES"/>
        </w:rPr>
      </w:pPr>
    </w:p>
    <w:p w14:paraId="7CD17B61" w14:textId="77777777" w:rsidR="00B53B45" w:rsidRPr="00FE5001" w:rsidRDefault="00B53B45" w:rsidP="008E7002">
      <w:pPr>
        <w:tabs>
          <w:tab w:val="left" w:pos="-720"/>
        </w:tabs>
        <w:suppressAutoHyphens/>
        <w:spacing w:after="0" w:line="240" w:lineRule="auto"/>
        <w:jc w:val="both"/>
        <w:rPr>
          <w:rFonts w:ascii="Times New Roman" w:eastAsia="Times New Roman" w:hAnsi="Times New Roman" w:cs="Times New Roman"/>
          <w:b/>
          <w:i/>
          <w:spacing w:val="-2"/>
          <w:lang w:val="es-ES_tradnl" w:eastAsia="es-ES"/>
        </w:rPr>
      </w:pPr>
      <w:bookmarkStart w:id="0" w:name="_Hlk534385096"/>
      <w:r w:rsidRPr="00FE5001">
        <w:rPr>
          <w:rFonts w:ascii="Times New Roman" w:eastAsia="Times New Roman" w:hAnsi="Times New Roman" w:cs="Times New Roman"/>
          <w:b/>
          <w:i/>
          <w:spacing w:val="-2"/>
          <w:lang w:val="es-ES_tradnl" w:eastAsia="es-ES"/>
        </w:rPr>
        <w:t>CONSIDERACIONES GENERALES</w:t>
      </w:r>
    </w:p>
    <w:p w14:paraId="0B772989" w14:textId="77777777" w:rsidR="00B53B45" w:rsidRPr="00FE5001" w:rsidRDefault="00B53B45" w:rsidP="008E7002">
      <w:pPr>
        <w:spacing w:after="0" w:line="240" w:lineRule="auto"/>
        <w:jc w:val="both"/>
        <w:rPr>
          <w:rFonts w:ascii="Times New Roman" w:eastAsia="Times New Roman" w:hAnsi="Times New Roman" w:cs="Times New Roman"/>
          <w:i/>
          <w:highlight w:val="yellow"/>
          <w:lang w:val="es-ES_tradnl" w:eastAsia="es-ES"/>
        </w:rPr>
      </w:pPr>
    </w:p>
    <w:p w14:paraId="7581203E" w14:textId="77777777" w:rsidR="00B53B45" w:rsidRPr="00FE5001" w:rsidRDefault="00B53B45" w:rsidP="008E7002">
      <w:pPr>
        <w:spacing w:after="0" w:line="240" w:lineRule="auto"/>
        <w:jc w:val="both"/>
        <w:rPr>
          <w:rFonts w:ascii="Times New Roman" w:eastAsia="Times New Roman" w:hAnsi="Times New Roman" w:cs="Times New Roman"/>
          <w:i/>
          <w:lang w:eastAsia="es-ES"/>
        </w:rPr>
      </w:pPr>
      <w:bookmarkStart w:id="1" w:name="_Hlk534297620"/>
      <w:bookmarkStart w:id="2" w:name="_Hlk534390934"/>
      <w:bookmarkStart w:id="3" w:name="_Hlk534297452"/>
      <w:r w:rsidRPr="00FE5001">
        <w:rPr>
          <w:rFonts w:ascii="Times New Roman" w:eastAsia="Times New Roman" w:hAnsi="Times New Roman" w:cs="Times New Roman"/>
          <w:b/>
          <w:i/>
          <w:lang w:eastAsia="es-ES"/>
        </w:rPr>
        <w:t>Economía Internacional</w:t>
      </w:r>
      <w:r w:rsidRPr="00FE5001">
        <w:rPr>
          <w:rFonts w:ascii="Times New Roman" w:eastAsia="Times New Roman" w:hAnsi="Times New Roman" w:cs="Times New Roman"/>
          <w:i/>
          <w:lang w:eastAsia="es-ES"/>
        </w:rPr>
        <w:t>:</w:t>
      </w:r>
    </w:p>
    <w:p w14:paraId="75BEE28E" w14:textId="77777777" w:rsidR="00B53B45" w:rsidRPr="00FE5001" w:rsidRDefault="00B53B45" w:rsidP="008E7002">
      <w:pPr>
        <w:spacing w:after="0" w:line="240" w:lineRule="auto"/>
        <w:jc w:val="both"/>
        <w:rPr>
          <w:rFonts w:ascii="Times New Roman" w:eastAsia="Times New Roman" w:hAnsi="Times New Roman" w:cs="Times New Roman"/>
          <w:i/>
          <w:lang w:eastAsia="es-ES"/>
        </w:rPr>
      </w:pPr>
    </w:p>
    <w:p w14:paraId="3706617D" w14:textId="4C0A040B"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drawing>
          <wp:anchor distT="0" distB="0" distL="114300" distR="114300" simplePos="0" relativeHeight="251659264" behindDoc="1" locked="0" layoutInCell="1" allowOverlap="1" wp14:anchorId="6BEF9BEB" wp14:editId="623D81B4">
            <wp:simplePos x="0" y="0"/>
            <wp:positionH relativeFrom="column">
              <wp:posOffset>2822575</wp:posOffset>
            </wp:positionH>
            <wp:positionV relativeFrom="paragraph">
              <wp:posOffset>797560</wp:posOffset>
            </wp:positionV>
            <wp:extent cx="2744470" cy="1649730"/>
            <wp:effectExtent l="19050" t="19050" r="0" b="7620"/>
            <wp:wrapTight wrapText="bothSides">
              <wp:wrapPolygon edited="0">
                <wp:start x="-150" y="-249"/>
                <wp:lineTo x="-150" y="21700"/>
                <wp:lineTo x="21590" y="21700"/>
                <wp:lineTo x="21590" y="-249"/>
                <wp:lineTo x="-150" y="-249"/>
              </wp:wrapPolygon>
            </wp:wrapTight>
            <wp:docPr id="4"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línea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4470" cy="164973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Pr="00FE5001">
        <w:rPr>
          <w:rFonts w:ascii="Times New Roman" w:eastAsia="Times New Roman" w:hAnsi="Times New Roman" w:cs="Times New Roman"/>
          <w:i/>
          <w:lang w:val="es-ES" w:eastAsia="es-ES"/>
        </w:rPr>
        <w:t xml:space="preserve">En el </w:t>
      </w:r>
      <w:r w:rsidR="00AF2FB6" w:rsidRPr="00FE5001">
        <w:rPr>
          <w:rFonts w:ascii="Times New Roman" w:eastAsia="Times New Roman" w:hAnsi="Times New Roman" w:cs="Times New Roman"/>
          <w:i/>
          <w:lang w:val="es-ES" w:eastAsia="es-ES"/>
        </w:rPr>
        <w:t>e</w:t>
      </w:r>
      <w:r w:rsidRPr="00FE5001">
        <w:rPr>
          <w:rFonts w:ascii="Times New Roman" w:eastAsia="Times New Roman" w:hAnsi="Times New Roman" w:cs="Times New Roman"/>
          <w:i/>
          <w:lang w:val="es-ES" w:eastAsia="es-ES"/>
        </w:rPr>
        <w:t xml:space="preserve">jercicio </w:t>
      </w:r>
      <w:r w:rsidR="00AF2FB6" w:rsidRPr="00FE5001">
        <w:rPr>
          <w:rFonts w:ascii="Times New Roman" w:eastAsia="Times New Roman" w:hAnsi="Times New Roman" w:cs="Times New Roman"/>
          <w:i/>
          <w:lang w:val="es-ES" w:eastAsia="es-ES"/>
        </w:rPr>
        <w:t xml:space="preserve">ha </w:t>
      </w:r>
      <w:r w:rsidRPr="00FE5001">
        <w:rPr>
          <w:rFonts w:ascii="Times New Roman" w:eastAsia="Times New Roman" w:hAnsi="Times New Roman" w:cs="Times New Roman"/>
          <w:i/>
          <w:lang w:val="es-ES" w:eastAsia="es-ES"/>
        </w:rPr>
        <w:t>qued</w:t>
      </w:r>
      <w:r w:rsidR="00AF2FB6" w:rsidRPr="00FE5001">
        <w:rPr>
          <w:rFonts w:ascii="Times New Roman" w:eastAsia="Times New Roman" w:hAnsi="Times New Roman" w:cs="Times New Roman"/>
          <w:i/>
          <w:lang w:val="es-ES" w:eastAsia="es-ES"/>
        </w:rPr>
        <w:t xml:space="preserve">ado </w:t>
      </w:r>
      <w:r w:rsidRPr="00FE5001">
        <w:rPr>
          <w:rFonts w:ascii="Times New Roman" w:eastAsia="Times New Roman" w:hAnsi="Times New Roman" w:cs="Times New Roman"/>
          <w:i/>
          <w:lang w:val="es-ES" w:eastAsia="es-ES"/>
        </w:rPr>
        <w:t>en evidencia la marcada diferencia entre las economías más avanzadas y las de los países emergentes y en desarrollo. Estas divergencias son consecuencia de la enorme disparidad en el acceso a las vacunas y las distintas capacidades que exhibieron los estados nacionales para ejecutar políticas de apoyo a su sector privado durante la pandemia.</w:t>
      </w:r>
    </w:p>
    <w:p w14:paraId="05DBC355"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0AD6D4A7" w14:textId="0AFBB7EC"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Esto muestra a futuro también una peligrosa divergencia de las perspectivas económicas de corto plazo entre los países: el F</w:t>
      </w:r>
      <w:r w:rsidR="0045463A" w:rsidRPr="00FE5001">
        <w:rPr>
          <w:rFonts w:ascii="Times New Roman" w:eastAsia="Times New Roman" w:hAnsi="Times New Roman" w:cs="Times New Roman"/>
          <w:i/>
          <w:lang w:val="es-ES" w:eastAsia="es-ES"/>
        </w:rPr>
        <w:t xml:space="preserve">ondo </w:t>
      </w:r>
      <w:r w:rsidRPr="00FE5001">
        <w:rPr>
          <w:rFonts w:ascii="Times New Roman" w:eastAsia="Times New Roman" w:hAnsi="Times New Roman" w:cs="Times New Roman"/>
          <w:i/>
          <w:lang w:val="es-ES" w:eastAsia="es-ES"/>
        </w:rPr>
        <w:t>M</w:t>
      </w:r>
      <w:r w:rsidR="0045463A" w:rsidRPr="00FE5001">
        <w:rPr>
          <w:rFonts w:ascii="Times New Roman" w:eastAsia="Times New Roman" w:hAnsi="Times New Roman" w:cs="Times New Roman"/>
          <w:i/>
          <w:lang w:val="es-ES" w:eastAsia="es-ES"/>
        </w:rPr>
        <w:t>onetario Internacional (“FMI”)</w:t>
      </w:r>
      <w:r w:rsidRPr="00FE5001">
        <w:rPr>
          <w:rFonts w:ascii="Times New Roman" w:eastAsia="Times New Roman" w:hAnsi="Times New Roman" w:cs="Times New Roman"/>
          <w:i/>
          <w:lang w:val="es-ES" w:eastAsia="es-ES"/>
        </w:rPr>
        <w:t xml:space="preserve"> prevé que el </w:t>
      </w:r>
      <w:r w:rsidR="003F3A64" w:rsidRPr="00FE5001">
        <w:rPr>
          <w:rFonts w:ascii="Times New Roman" w:eastAsia="Times New Roman" w:hAnsi="Times New Roman" w:cs="Times New Roman"/>
          <w:i/>
          <w:lang w:val="es-ES" w:eastAsia="es-ES"/>
        </w:rPr>
        <w:t>Producto Bruto Interno (“</w:t>
      </w:r>
      <w:r w:rsidRPr="00FE5001">
        <w:rPr>
          <w:rFonts w:ascii="Times New Roman" w:eastAsia="Times New Roman" w:hAnsi="Times New Roman" w:cs="Times New Roman"/>
          <w:i/>
          <w:lang w:val="es-ES" w:eastAsia="es-ES"/>
        </w:rPr>
        <w:t>PBI</w:t>
      </w:r>
      <w:r w:rsidR="003F3A64"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agregado del grupo de economías avanzadas recupere la trayectoria de la tendencia previa a la pandemia en 2022 y la supere en un 0,9% en 2024 en cambio, espera que el producto agregado del grupo de economías de mercados emergentes y en desarrollo (excluida China) se mantenga en 2024 un 5,5% por debajo de las previsiones </w:t>
      </w:r>
      <w:proofErr w:type="spellStart"/>
      <w:r w:rsidRPr="00FE5001">
        <w:rPr>
          <w:rFonts w:ascii="Times New Roman" w:eastAsia="Times New Roman" w:hAnsi="Times New Roman" w:cs="Times New Roman"/>
          <w:i/>
          <w:lang w:val="es-ES" w:eastAsia="es-ES"/>
        </w:rPr>
        <w:t>pre-pandémicas</w:t>
      </w:r>
      <w:proofErr w:type="spellEnd"/>
      <w:r w:rsidRPr="00FE5001">
        <w:rPr>
          <w:rFonts w:ascii="Times New Roman" w:eastAsia="Times New Roman" w:hAnsi="Times New Roman" w:cs="Times New Roman"/>
          <w:i/>
          <w:lang w:val="es-ES" w:eastAsia="es-ES"/>
        </w:rPr>
        <w:t xml:space="preserve">, lo cual provocaría un fuerte retroceso de los logros en la mejora del nivel de vida de estos países menos desarrollados. </w:t>
      </w:r>
    </w:p>
    <w:p w14:paraId="6EA8AEC8"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2560354B" w14:textId="77777777" w:rsidR="00AF2FB6"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drawing>
          <wp:anchor distT="0" distB="0" distL="114300" distR="114300" simplePos="0" relativeHeight="251660288" behindDoc="1" locked="0" layoutInCell="1" allowOverlap="1" wp14:anchorId="6CA5AFA1" wp14:editId="2B4F9A24">
            <wp:simplePos x="0" y="0"/>
            <wp:positionH relativeFrom="column">
              <wp:posOffset>2788920</wp:posOffset>
            </wp:positionH>
            <wp:positionV relativeFrom="paragraph">
              <wp:posOffset>6350</wp:posOffset>
            </wp:positionV>
            <wp:extent cx="2790190" cy="1666875"/>
            <wp:effectExtent l="0" t="0" r="0" b="0"/>
            <wp:wrapTight wrapText="bothSides">
              <wp:wrapPolygon edited="0">
                <wp:start x="0" y="0"/>
                <wp:lineTo x="0" y="21477"/>
                <wp:lineTo x="21384" y="21477"/>
                <wp:lineTo x="21384" y="0"/>
                <wp:lineTo x="0" y="0"/>
              </wp:wrapPolygon>
            </wp:wrapTight>
            <wp:docPr id="6"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190" cy="1666875"/>
                    </a:xfrm>
                    <a:prstGeom prst="rect">
                      <a:avLst/>
                    </a:prstGeom>
                    <a:noFill/>
                  </pic:spPr>
                </pic:pic>
              </a:graphicData>
            </a:graphic>
            <wp14:sizeRelH relativeFrom="page">
              <wp14:pctWidth>0</wp14:pctWidth>
            </wp14:sizeRelH>
            <wp14:sizeRelV relativeFrom="page">
              <wp14:pctHeight>0</wp14:pctHeight>
            </wp14:sizeRelV>
          </wp:anchor>
        </w:drawing>
      </w:r>
      <w:r w:rsidRPr="00FE5001">
        <w:rPr>
          <w:rFonts w:ascii="Times New Roman" w:eastAsia="Times New Roman" w:hAnsi="Times New Roman" w:cs="Times New Roman"/>
          <w:i/>
          <w:lang w:val="es-ES" w:eastAsia="es-ES"/>
        </w:rPr>
        <w:t xml:space="preserve">De igual forma el mercado laboral mostró un menor dinamismo en la mayoría de las economías de mundo donde las tasas de empleo, en general, se mantienen por debajo de los niveles registrados </w:t>
      </w:r>
      <w:proofErr w:type="spellStart"/>
      <w:r w:rsidRPr="00FE5001">
        <w:rPr>
          <w:rFonts w:ascii="Times New Roman" w:eastAsia="Times New Roman" w:hAnsi="Times New Roman" w:cs="Times New Roman"/>
          <w:i/>
          <w:lang w:val="es-ES" w:eastAsia="es-ES"/>
        </w:rPr>
        <w:t>prepandemia</w:t>
      </w:r>
      <w:proofErr w:type="spellEnd"/>
      <w:r w:rsidRPr="00FE5001">
        <w:rPr>
          <w:rFonts w:ascii="Times New Roman" w:eastAsia="Times New Roman" w:hAnsi="Times New Roman" w:cs="Times New Roman"/>
          <w:i/>
          <w:lang w:val="es-ES" w:eastAsia="es-ES"/>
        </w:rPr>
        <w:t>. y se presenta con mayor fuerza aún en los países en desarrollo. Desde lo sanitario, asimismo, mientras que casi el 60% de la población de las economías avanzadas ya está completamente vacunada, e incluso se está administrando dosis de refuerzo, aproximadamente el 96% de la población de los países de bajo ingreso seguía sin vacunar a octubre de 2021.</w:t>
      </w:r>
    </w:p>
    <w:p w14:paraId="58461DA0" w14:textId="74F2E5A1"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 </w:t>
      </w:r>
    </w:p>
    <w:p w14:paraId="14EB5D6B"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lastRenderedPageBreak/>
        <w:drawing>
          <wp:anchor distT="0" distB="0" distL="114300" distR="114300" simplePos="0" relativeHeight="251661312" behindDoc="1" locked="0" layoutInCell="1" allowOverlap="1" wp14:anchorId="27D92B39" wp14:editId="515C02DF">
            <wp:simplePos x="0" y="0"/>
            <wp:positionH relativeFrom="column">
              <wp:posOffset>2762250</wp:posOffset>
            </wp:positionH>
            <wp:positionV relativeFrom="paragraph">
              <wp:posOffset>130810</wp:posOffset>
            </wp:positionV>
            <wp:extent cx="2806700" cy="1687195"/>
            <wp:effectExtent l="0" t="0" r="0" b="0"/>
            <wp:wrapTight wrapText="bothSides">
              <wp:wrapPolygon edited="0">
                <wp:start x="0" y="0"/>
                <wp:lineTo x="0" y="21462"/>
                <wp:lineTo x="21405" y="21462"/>
                <wp:lineTo x="21405" y="0"/>
                <wp:lineTo x="0" y="0"/>
              </wp:wrapPolygon>
            </wp:wrapTight>
            <wp:docPr id="7" name="Imagen 7"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en cascad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1687195"/>
                    </a:xfrm>
                    <a:prstGeom prst="rect">
                      <a:avLst/>
                    </a:prstGeom>
                    <a:noFill/>
                  </pic:spPr>
                </pic:pic>
              </a:graphicData>
            </a:graphic>
            <wp14:sizeRelH relativeFrom="page">
              <wp14:pctWidth>0</wp14:pctWidth>
            </wp14:sizeRelH>
            <wp14:sizeRelV relativeFrom="page">
              <wp14:pctHeight>0</wp14:pctHeight>
            </wp14:sizeRelV>
          </wp:anchor>
        </w:drawing>
      </w:r>
      <w:r w:rsidRPr="00FE5001">
        <w:rPr>
          <w:rFonts w:ascii="Times New Roman" w:eastAsia="Times New Roman" w:hAnsi="Times New Roman" w:cs="Times New Roman"/>
          <w:i/>
          <w:lang w:val="es-ES" w:eastAsia="es-ES"/>
        </w:rPr>
        <w:t xml:space="preserve">Entre los principales problemas que tienen los socios comerciales de la Argentina, se destacan: la desaceleración en la expansión de la actividad económica en Estados Unidos y, especialmente, en China, y el bajo crecimiento de Brasil. En la zona del euro la actividad económica volvió a incrementarse a una tasa elevada, similar a la del segundo trimestre, de esta forma, en el tercer trimestre de 2021, los niveles de actividad de estos países se ubicaban por encima o en niveles cercanos a los anteriores a la pandemia. </w:t>
      </w:r>
    </w:p>
    <w:p w14:paraId="011C98C0"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0F55E16A" w14:textId="1DA65B98"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Las políticas fiscales y monetarias de apoyo al sector privado comenzaron a revisarse en 2021, y en algunos casos a revertirse ante la evidencia de un crecimiento de la inflación en casi todos los países del mundo, tomando medidas de política monetaria con sesgo contractivo</w:t>
      </w:r>
      <w:r w:rsidR="00055092"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noProof/>
          <w:lang w:val="es-ES" w:eastAsia="es-ES"/>
        </w:rPr>
        <w:drawing>
          <wp:anchor distT="0" distB="0" distL="114300" distR="114300" simplePos="0" relativeHeight="251662336" behindDoc="1" locked="0" layoutInCell="1" allowOverlap="1" wp14:anchorId="51E704B2" wp14:editId="26ABF8C8">
            <wp:simplePos x="0" y="0"/>
            <wp:positionH relativeFrom="column">
              <wp:posOffset>2755900</wp:posOffset>
            </wp:positionH>
            <wp:positionV relativeFrom="paragraph">
              <wp:posOffset>60960</wp:posOffset>
            </wp:positionV>
            <wp:extent cx="2806700" cy="1687195"/>
            <wp:effectExtent l="19050" t="19050" r="0" b="8255"/>
            <wp:wrapTight wrapText="bothSides">
              <wp:wrapPolygon edited="0">
                <wp:start x="-147" y="-244"/>
                <wp:lineTo x="-147" y="21706"/>
                <wp:lineTo x="21551" y="21706"/>
                <wp:lineTo x="21551" y="-244"/>
                <wp:lineTo x="-147" y="-244"/>
              </wp:wrapPolygon>
            </wp:wrapTight>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línea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700" cy="168719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0573A5BF"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4B326127" w14:textId="389187BC" w:rsidR="00B53B45" w:rsidRPr="00FE5001" w:rsidRDefault="00055092"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incremento de la inflación mundial </w:t>
      </w:r>
      <w:r w:rsidR="00B53B45" w:rsidRPr="00FE5001">
        <w:rPr>
          <w:rFonts w:ascii="Times New Roman" w:eastAsia="Times New Roman" w:hAnsi="Times New Roman" w:cs="Times New Roman"/>
          <w:i/>
          <w:lang w:val="es-ES" w:eastAsia="es-ES"/>
        </w:rPr>
        <w:t>se explica a partir de la masiva emisión de dinero de 2020 en todo el planeta -por encima de la demanda de dinero de las personas-</w:t>
      </w:r>
      <w:r w:rsidR="00F37D62" w:rsidRPr="00FE5001">
        <w:rPr>
          <w:rFonts w:ascii="Times New Roman" w:eastAsia="Times New Roman" w:hAnsi="Times New Roman" w:cs="Times New Roman"/>
          <w:i/>
          <w:lang w:val="es-ES" w:eastAsia="es-ES"/>
        </w:rPr>
        <w:t>,</w:t>
      </w:r>
      <w:r w:rsidR="00B53B45" w:rsidRPr="00FE5001">
        <w:rPr>
          <w:rFonts w:ascii="Times New Roman" w:eastAsia="Times New Roman" w:hAnsi="Times New Roman" w:cs="Times New Roman"/>
          <w:i/>
          <w:lang w:val="es-ES" w:eastAsia="es-ES"/>
        </w:rPr>
        <w:t xml:space="preserve"> los descalces de oferta frente a demandas retrasadas de bienes que generan desabastecimiento, y el aumento del precio de las materias primas, principalmente las energéticas. En las economías emergentes, el impacto de los mayores precios de materias primas fue potenciado por la depreciación cambiaria.</w:t>
      </w:r>
    </w:p>
    <w:p w14:paraId="66C5E5A4"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5DFD5256"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De cara a futuros ejercicios, y ante el inminente endurecimiento de las condiciones financieras a causa de la inflación y el aumento del riesgo global, la política monetaria de los países avanzados tiende a mayores tasas de interés, apreciación global del dólar y su eventual impacto sobre los flujos de capitales y los precios de las materias primas. </w:t>
      </w:r>
    </w:p>
    <w:p w14:paraId="4770A513"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5107A190" w14:textId="5A4C9804"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Los mercados financieros entrañan asimismo riesgos endógenos adicionales como la alta volatilidad generada por los precios de los </w:t>
      </w:r>
      <w:proofErr w:type="spellStart"/>
      <w:r w:rsidRPr="00FE5001">
        <w:rPr>
          <w:rFonts w:ascii="Times New Roman" w:eastAsia="Times New Roman" w:hAnsi="Times New Roman" w:cs="Times New Roman"/>
          <w:i/>
          <w:lang w:val="es-ES" w:eastAsia="es-ES"/>
        </w:rPr>
        <w:t>criptoactivos</w:t>
      </w:r>
      <w:proofErr w:type="spellEnd"/>
      <w:r w:rsidRPr="00FE5001">
        <w:rPr>
          <w:rFonts w:ascii="Times New Roman" w:eastAsia="Times New Roman" w:hAnsi="Times New Roman" w:cs="Times New Roman"/>
          <w:i/>
          <w:lang w:val="es-ES" w:eastAsia="es-ES"/>
        </w:rPr>
        <w:t xml:space="preserve"> y también la amenaza de la crisis inmobiliaria en China, siendo perjudiciales para todo el sistema global en esta etapa de recuperación y cambios de políticas económicas. </w:t>
      </w:r>
    </w:p>
    <w:bookmarkEnd w:id="0"/>
    <w:bookmarkEnd w:id="1"/>
    <w:bookmarkEnd w:id="2"/>
    <w:p w14:paraId="21B76DE8" w14:textId="77777777" w:rsidR="00FE5001" w:rsidRDefault="00FE5001" w:rsidP="008E7002">
      <w:pPr>
        <w:spacing w:after="0" w:line="240" w:lineRule="auto"/>
        <w:jc w:val="both"/>
        <w:rPr>
          <w:rFonts w:ascii="Times New Roman" w:eastAsia="Times New Roman" w:hAnsi="Times New Roman" w:cs="Times New Roman"/>
          <w:b/>
          <w:i/>
          <w:lang w:eastAsia="es-ES"/>
        </w:rPr>
      </w:pPr>
    </w:p>
    <w:p w14:paraId="6E579B1E" w14:textId="077B56A3" w:rsidR="00F37D62" w:rsidRPr="00FE5001" w:rsidRDefault="00B53B45" w:rsidP="008E7002">
      <w:pPr>
        <w:spacing w:after="0" w:line="240" w:lineRule="auto"/>
        <w:jc w:val="both"/>
        <w:rPr>
          <w:rFonts w:ascii="Times New Roman" w:eastAsia="Times New Roman" w:hAnsi="Times New Roman" w:cs="Times New Roman"/>
          <w:i/>
          <w:lang w:eastAsia="es-ES"/>
        </w:rPr>
      </w:pPr>
      <w:r w:rsidRPr="00FE5001">
        <w:rPr>
          <w:rFonts w:ascii="Times New Roman" w:eastAsia="Times New Roman" w:hAnsi="Times New Roman" w:cs="Times New Roman"/>
          <w:b/>
          <w:i/>
          <w:lang w:eastAsia="es-ES"/>
        </w:rPr>
        <w:t>Economía argentina</w:t>
      </w:r>
      <w:r w:rsidRPr="00FE5001">
        <w:rPr>
          <w:rFonts w:ascii="Times New Roman" w:eastAsia="Times New Roman" w:hAnsi="Times New Roman" w:cs="Times New Roman"/>
          <w:i/>
          <w:lang w:eastAsia="es-ES"/>
        </w:rPr>
        <w:t>:</w:t>
      </w:r>
    </w:p>
    <w:bookmarkEnd w:id="3"/>
    <w:p w14:paraId="400DA6F9" w14:textId="77777777" w:rsidR="00FE5001" w:rsidRDefault="00FE5001" w:rsidP="008E7002">
      <w:pPr>
        <w:spacing w:after="0" w:line="240" w:lineRule="auto"/>
        <w:jc w:val="both"/>
        <w:rPr>
          <w:rFonts w:ascii="Times New Roman" w:eastAsia="Times New Roman" w:hAnsi="Times New Roman" w:cs="Times New Roman"/>
          <w:i/>
          <w:lang w:val="es-ES" w:eastAsia="es-ES"/>
        </w:rPr>
      </w:pPr>
    </w:p>
    <w:p w14:paraId="3246EBF4" w14:textId="15001AB7"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Durante el último </w:t>
      </w:r>
      <w:r w:rsidR="00F37D62" w:rsidRPr="00FE5001">
        <w:rPr>
          <w:rFonts w:ascii="Times New Roman" w:eastAsia="Times New Roman" w:hAnsi="Times New Roman" w:cs="Times New Roman"/>
          <w:i/>
          <w:lang w:val="es-ES" w:eastAsia="es-ES"/>
        </w:rPr>
        <w:t>e</w:t>
      </w:r>
      <w:r w:rsidRPr="00FE5001">
        <w:rPr>
          <w:rFonts w:ascii="Times New Roman" w:eastAsia="Times New Roman" w:hAnsi="Times New Roman" w:cs="Times New Roman"/>
          <w:i/>
          <w:lang w:val="es-ES" w:eastAsia="es-ES"/>
        </w:rPr>
        <w:t>jercicio el nivel de actividad económica de la Argentina evolucionó muy favorablemente luego de la caída histórica de casi el 10% del PBI en 2020, finalizando en un nivel cercano previo al confinamiento</w:t>
      </w:r>
      <w:r w:rsidR="00F37D62"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La secuencial liberalización de sectores fue la clave a medida que avanzaba el proceso de vacunación que permitió controlar la situación sanitaria. En nuestro país la vacunación masiva comenzó recién a fines del año 2020, en un contexto inicial de oferta global de vacunas muy limitada frente a una demanda internacional exponencial, desacuerdos contractuales con varios laboratorios internacionales y problemas logísticos asociados a la distribución.</w:t>
      </w:r>
    </w:p>
    <w:p w14:paraId="65D6AAE8" w14:textId="106A07DD" w:rsidR="00B53B45" w:rsidRPr="00FE5001" w:rsidRDefault="00F37D62"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lastRenderedPageBreak/>
        <w:drawing>
          <wp:anchor distT="0" distB="0" distL="114300" distR="114300" simplePos="0" relativeHeight="251663360" behindDoc="1" locked="0" layoutInCell="1" allowOverlap="1" wp14:anchorId="2E73DB83" wp14:editId="431FCA10">
            <wp:simplePos x="0" y="0"/>
            <wp:positionH relativeFrom="column">
              <wp:posOffset>2851785</wp:posOffset>
            </wp:positionH>
            <wp:positionV relativeFrom="paragraph">
              <wp:posOffset>26670</wp:posOffset>
            </wp:positionV>
            <wp:extent cx="2768600" cy="1664335"/>
            <wp:effectExtent l="19050" t="19050" r="0" b="0"/>
            <wp:wrapTight wrapText="bothSides">
              <wp:wrapPolygon edited="0">
                <wp:start x="-149" y="-247"/>
                <wp:lineTo x="-149" y="21509"/>
                <wp:lineTo x="21550" y="21509"/>
                <wp:lineTo x="21550" y="-247"/>
                <wp:lineTo x="-149" y="-247"/>
              </wp:wrapPolygon>
            </wp:wrapTight>
            <wp:docPr id="9" name="Imagen 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líne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0" cy="166433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B53B45" w:rsidRPr="00FE5001">
        <w:rPr>
          <w:rFonts w:ascii="Times New Roman" w:eastAsia="Times New Roman" w:hAnsi="Times New Roman" w:cs="Times New Roman"/>
          <w:i/>
          <w:lang w:val="es-ES" w:eastAsia="es-ES"/>
        </w:rPr>
        <w:t xml:space="preserve">Conforme a los patrones típicos del ciclo económico la dinámica de recuperación permitió mejorar en algo el crítico panorama fiscal de la Nación, al tiempo que exhibió una fuerte recomposición de los principales componentes de la </w:t>
      </w:r>
      <w:r w:rsidRPr="00FE5001">
        <w:rPr>
          <w:rFonts w:ascii="Times New Roman" w:eastAsia="Times New Roman" w:hAnsi="Times New Roman" w:cs="Times New Roman"/>
          <w:i/>
          <w:lang w:val="es-ES" w:eastAsia="es-ES"/>
        </w:rPr>
        <w:t>d</w:t>
      </w:r>
      <w:r w:rsidR="00B53B45" w:rsidRPr="00FE5001">
        <w:rPr>
          <w:rFonts w:ascii="Times New Roman" w:eastAsia="Times New Roman" w:hAnsi="Times New Roman" w:cs="Times New Roman"/>
          <w:i/>
          <w:lang w:val="es-ES" w:eastAsia="es-ES"/>
        </w:rPr>
        <w:t xml:space="preserve">emanda </w:t>
      </w:r>
      <w:r w:rsidRPr="00FE5001">
        <w:rPr>
          <w:rFonts w:ascii="Times New Roman" w:eastAsia="Times New Roman" w:hAnsi="Times New Roman" w:cs="Times New Roman"/>
          <w:i/>
          <w:lang w:val="es-ES" w:eastAsia="es-ES"/>
        </w:rPr>
        <w:t>a</w:t>
      </w:r>
      <w:r w:rsidR="00B53B45" w:rsidRPr="00FE5001">
        <w:rPr>
          <w:rFonts w:ascii="Times New Roman" w:eastAsia="Times New Roman" w:hAnsi="Times New Roman" w:cs="Times New Roman"/>
          <w:i/>
          <w:lang w:val="es-ES" w:eastAsia="es-ES"/>
        </w:rPr>
        <w:t>gregada: el consumo, la inversión y las importaciones.</w:t>
      </w:r>
    </w:p>
    <w:p w14:paraId="04A41C96" w14:textId="77777777" w:rsidR="00055092" w:rsidRPr="00FE5001" w:rsidRDefault="00055092" w:rsidP="008E7002">
      <w:pPr>
        <w:spacing w:after="0" w:line="240" w:lineRule="auto"/>
        <w:jc w:val="both"/>
        <w:rPr>
          <w:rFonts w:ascii="Times New Roman" w:eastAsia="Times New Roman" w:hAnsi="Times New Roman" w:cs="Times New Roman"/>
          <w:i/>
          <w:lang w:val="es-ES" w:eastAsia="es-ES"/>
        </w:rPr>
      </w:pPr>
    </w:p>
    <w:p w14:paraId="77677A1E" w14:textId="42158CF8"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drawing>
          <wp:anchor distT="0" distB="0" distL="114300" distR="114300" simplePos="0" relativeHeight="251665408" behindDoc="1" locked="0" layoutInCell="1" allowOverlap="1" wp14:anchorId="2BB5B375" wp14:editId="74B25F86">
            <wp:simplePos x="0" y="0"/>
            <wp:positionH relativeFrom="column">
              <wp:posOffset>2845435</wp:posOffset>
            </wp:positionH>
            <wp:positionV relativeFrom="paragraph">
              <wp:posOffset>257175</wp:posOffset>
            </wp:positionV>
            <wp:extent cx="2730500" cy="1705610"/>
            <wp:effectExtent l="19050" t="19050" r="0" b="8890"/>
            <wp:wrapTight wrapText="bothSides">
              <wp:wrapPolygon edited="0">
                <wp:start x="-151" y="-241"/>
                <wp:lineTo x="-151" y="21713"/>
                <wp:lineTo x="21550" y="21713"/>
                <wp:lineTo x="21550" y="-241"/>
                <wp:lineTo x="-151" y="-241"/>
              </wp:wrapPolygon>
            </wp:wrapTight>
            <wp:docPr id="11" name="Imagen 11" descr="Interfaz de usuario gráfica, 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Gráfico, Gráfico de líneas&#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0" cy="170561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Pr="00FE5001">
        <w:rPr>
          <w:rFonts w:ascii="Times New Roman" w:eastAsia="Times New Roman" w:hAnsi="Times New Roman" w:cs="Times New Roman"/>
          <w:i/>
          <w:lang w:val="es-ES" w:eastAsia="es-ES"/>
        </w:rPr>
        <w:t>Al mismo tiempo las exportaciones argentinas también lograron una significativa expansión merced a los buenos volúmenes de la cosecha gruesa, y principalmente debido a la performance de los precios de los exportables argentinos, en particular la soja</w:t>
      </w:r>
      <w:r w:rsidR="00F37D62"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que sostuvieron la secuencia alcista. </w:t>
      </w:r>
    </w:p>
    <w:p w14:paraId="27A48A8B" w14:textId="77777777" w:rsidR="00F37D62" w:rsidRPr="00FE5001" w:rsidRDefault="00F37D62" w:rsidP="008E7002">
      <w:pPr>
        <w:spacing w:after="0" w:line="240" w:lineRule="auto"/>
        <w:jc w:val="both"/>
        <w:rPr>
          <w:rFonts w:ascii="Times New Roman" w:eastAsia="Times New Roman" w:hAnsi="Times New Roman" w:cs="Times New Roman"/>
          <w:i/>
          <w:lang w:val="es-ES" w:eastAsia="es-ES"/>
        </w:rPr>
      </w:pPr>
    </w:p>
    <w:p w14:paraId="57C4CA0E" w14:textId="59B88067"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Así, gracias a este efecto de los precios - habilitó desde el inicio del </w:t>
      </w:r>
      <w:r w:rsidR="00F37D62" w:rsidRPr="00FE5001">
        <w:rPr>
          <w:rFonts w:ascii="Times New Roman" w:eastAsia="Times New Roman" w:hAnsi="Times New Roman" w:cs="Times New Roman"/>
          <w:i/>
          <w:lang w:val="es-ES" w:eastAsia="es-ES"/>
        </w:rPr>
        <w:t>e</w:t>
      </w:r>
      <w:r w:rsidRPr="00FE5001">
        <w:rPr>
          <w:rFonts w:ascii="Times New Roman" w:eastAsia="Times New Roman" w:hAnsi="Times New Roman" w:cs="Times New Roman"/>
          <w:i/>
          <w:lang w:val="es-ES" w:eastAsia="es-ES"/>
        </w:rPr>
        <w:t>jercicio un nuevo proceso de acumulación de reservas internacionales (brutas) que duró hasta finales de septiembre de 2020. Hacia mediados de abril de 2021 se habría logrado dejar atrás el nivel crítico de reservas internacionales (netas) que se establece con las tenencias de oro.</w:t>
      </w:r>
    </w:p>
    <w:p w14:paraId="01821B5D" w14:textId="77777777" w:rsidR="00F37D62" w:rsidRPr="00FE5001" w:rsidRDefault="00F37D62" w:rsidP="008E7002">
      <w:pPr>
        <w:spacing w:after="0" w:line="240" w:lineRule="auto"/>
        <w:jc w:val="both"/>
        <w:rPr>
          <w:rFonts w:ascii="Times New Roman" w:eastAsia="Times New Roman" w:hAnsi="Times New Roman" w:cs="Times New Roman"/>
          <w:i/>
          <w:lang w:val="es-ES" w:eastAsia="es-ES"/>
        </w:rPr>
      </w:pPr>
    </w:p>
    <w:p w14:paraId="3388705A" w14:textId="0E113B72" w:rsidR="00B53B45" w:rsidRPr="00FE5001" w:rsidRDefault="00B87CBC"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drawing>
          <wp:anchor distT="0" distB="0" distL="114300" distR="114300" simplePos="0" relativeHeight="251666432" behindDoc="1" locked="0" layoutInCell="1" allowOverlap="1" wp14:anchorId="7A079794" wp14:editId="3E4D332D">
            <wp:simplePos x="0" y="0"/>
            <wp:positionH relativeFrom="margin">
              <wp:align>right</wp:align>
            </wp:positionH>
            <wp:positionV relativeFrom="paragraph">
              <wp:posOffset>22860</wp:posOffset>
            </wp:positionV>
            <wp:extent cx="2723515" cy="2306955"/>
            <wp:effectExtent l="19050" t="19050" r="19685" b="17145"/>
            <wp:wrapTight wrapText="bothSides">
              <wp:wrapPolygon edited="0">
                <wp:start x="-151" y="-178"/>
                <wp:lineTo x="-151" y="21582"/>
                <wp:lineTo x="21605" y="21582"/>
                <wp:lineTo x="21605" y="-178"/>
                <wp:lineTo x="-151" y="-178"/>
              </wp:wrapPolygon>
            </wp:wrapTight>
            <wp:docPr id="12" name="Imagen 1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de líne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3515" cy="230695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B53B45" w:rsidRPr="00FE5001">
        <w:rPr>
          <w:rFonts w:ascii="Times New Roman" w:eastAsia="Times New Roman" w:hAnsi="Times New Roman" w:cs="Times New Roman"/>
          <w:i/>
          <w:lang w:val="es-ES" w:eastAsia="es-ES"/>
        </w:rPr>
        <w:t xml:space="preserve">Los controles cambiarios implementados por la autoridad monetaria no lograron contrarrestar la baja de reservas internacionales demandadas por la dolarización de carteras potenciada por el calendario electoral: en octubre fueron 762.000 las personas que compraron dólar ahorro, la cifra más alta de 2021, quedando, las reservas netas a fin del </w:t>
      </w:r>
      <w:r w:rsidR="000A35C7" w:rsidRPr="00FE5001">
        <w:rPr>
          <w:rFonts w:ascii="Times New Roman" w:eastAsia="Times New Roman" w:hAnsi="Times New Roman" w:cs="Times New Roman"/>
          <w:i/>
          <w:lang w:val="es-ES" w:eastAsia="es-ES"/>
        </w:rPr>
        <w:t>e</w:t>
      </w:r>
      <w:r w:rsidR="00B53B45" w:rsidRPr="00FE5001">
        <w:rPr>
          <w:rFonts w:ascii="Times New Roman" w:eastAsia="Times New Roman" w:hAnsi="Times New Roman" w:cs="Times New Roman"/>
          <w:i/>
          <w:lang w:val="es-ES" w:eastAsia="es-ES"/>
        </w:rPr>
        <w:t>jercicio en niveles críticos.</w:t>
      </w:r>
    </w:p>
    <w:p w14:paraId="144AEA70" w14:textId="77777777" w:rsidR="00B53B45" w:rsidRPr="00FE5001" w:rsidRDefault="00B53B45" w:rsidP="008E7002">
      <w:pPr>
        <w:spacing w:after="0" w:line="240" w:lineRule="auto"/>
        <w:jc w:val="both"/>
        <w:rPr>
          <w:rFonts w:ascii="Times New Roman" w:eastAsia="Times New Roman" w:hAnsi="Times New Roman" w:cs="Times New Roman"/>
          <w:i/>
          <w:lang w:val="es-ES" w:eastAsia="es-ES"/>
        </w:rPr>
      </w:pPr>
    </w:p>
    <w:p w14:paraId="191097F1" w14:textId="3B17EE31" w:rsidR="00B53B45"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Este complejo panorama también fue consecuencia de la demora en la negociación de la deuda con el FMI. Sin embargo y aunque los mercados están expectantes a la espera de un arreglo inminente entre la Argentina y el organismo, el riesgo país alcanzó los 1.900 puntos básicos, y las empresas argentinas con cotización internacional han sufrido importantes bajas en sus precios.</w:t>
      </w:r>
    </w:p>
    <w:p w14:paraId="2019B3DB" w14:textId="77777777" w:rsidR="00FE5001" w:rsidRPr="00FE5001" w:rsidRDefault="00FE5001" w:rsidP="008E7002">
      <w:pPr>
        <w:spacing w:after="0" w:line="240" w:lineRule="auto"/>
        <w:jc w:val="both"/>
        <w:rPr>
          <w:rFonts w:ascii="Times New Roman" w:eastAsia="Times New Roman" w:hAnsi="Times New Roman" w:cs="Times New Roman"/>
          <w:i/>
          <w:lang w:val="es-ES" w:eastAsia="es-ES"/>
        </w:rPr>
      </w:pPr>
    </w:p>
    <w:p w14:paraId="2CA1B671" w14:textId="66CB8166" w:rsidR="00B53B45" w:rsidRPr="00FE5001" w:rsidRDefault="009E3D00"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noProof/>
          <w:lang w:val="es-ES" w:eastAsia="es-ES"/>
        </w:rPr>
        <w:lastRenderedPageBreak/>
        <w:drawing>
          <wp:anchor distT="0" distB="0" distL="114300" distR="114300" simplePos="0" relativeHeight="251664384" behindDoc="1" locked="0" layoutInCell="1" allowOverlap="1" wp14:anchorId="4373DFB4" wp14:editId="1852324F">
            <wp:simplePos x="0" y="0"/>
            <wp:positionH relativeFrom="margin">
              <wp:align>right</wp:align>
            </wp:positionH>
            <wp:positionV relativeFrom="paragraph">
              <wp:posOffset>332740</wp:posOffset>
            </wp:positionV>
            <wp:extent cx="2730500" cy="1784985"/>
            <wp:effectExtent l="19050" t="19050" r="12700" b="24765"/>
            <wp:wrapTight wrapText="bothSides">
              <wp:wrapPolygon edited="0">
                <wp:start x="-151" y="-231"/>
                <wp:lineTo x="-151" y="21669"/>
                <wp:lineTo x="21550" y="21669"/>
                <wp:lineTo x="21550" y="-231"/>
                <wp:lineTo x="-151" y="-231"/>
              </wp:wrapPolygon>
            </wp:wrapTight>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barras&#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0" cy="178498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B53B45" w:rsidRPr="00FE5001">
        <w:rPr>
          <w:rFonts w:ascii="Times New Roman" w:eastAsia="Times New Roman" w:hAnsi="Times New Roman" w:cs="Times New Roman"/>
          <w:i/>
          <w:lang w:val="es-ES" w:eastAsia="es-ES"/>
        </w:rPr>
        <w:t xml:space="preserve">Al día siguiente de las elecciones, el </w:t>
      </w:r>
      <w:proofErr w:type="gramStart"/>
      <w:r w:rsidR="003F3A64" w:rsidRPr="00FE5001">
        <w:rPr>
          <w:rFonts w:ascii="Times New Roman" w:eastAsia="Times New Roman" w:hAnsi="Times New Roman" w:cs="Times New Roman"/>
          <w:i/>
          <w:lang w:val="es-ES" w:eastAsia="es-ES"/>
        </w:rPr>
        <w:t>Presidente</w:t>
      </w:r>
      <w:proofErr w:type="gramEnd"/>
      <w:r w:rsidR="003F3A64" w:rsidRPr="00FE5001">
        <w:rPr>
          <w:rFonts w:ascii="Times New Roman" w:eastAsia="Times New Roman" w:hAnsi="Times New Roman" w:cs="Times New Roman"/>
          <w:i/>
          <w:lang w:val="es-ES" w:eastAsia="es-ES"/>
        </w:rPr>
        <w:t xml:space="preserve"> </w:t>
      </w:r>
      <w:r w:rsidR="00B53B45" w:rsidRPr="00FE5001">
        <w:rPr>
          <w:rFonts w:ascii="Times New Roman" w:eastAsia="Times New Roman" w:hAnsi="Times New Roman" w:cs="Times New Roman"/>
          <w:i/>
          <w:lang w:val="es-ES" w:eastAsia="es-ES"/>
        </w:rPr>
        <w:t>de la Nación anunció que se trabaja en la elaboración de un “Plan Económico Plurianual” que supondría el esbozo de un plan económico que podría constituir una plataforma para el acuerdo con el FMI ya que su debate requeriría la construcción de consensos políticos tanto con la oposición como dentro de la coalición gobernante. De su nivel de detalle, y de las vicisitudes de la posterior negociación con el organismo de las políticas fiscales y monetario-cambiarias que contenga, dependerán las expectativas a futuro que construya el sector privado.</w:t>
      </w:r>
    </w:p>
    <w:p w14:paraId="2BD406E9" w14:textId="119F991C" w:rsidR="009E3D00" w:rsidRPr="00FE5001" w:rsidRDefault="009E3D00" w:rsidP="008E7002">
      <w:pPr>
        <w:spacing w:after="0" w:line="240" w:lineRule="auto"/>
        <w:jc w:val="both"/>
        <w:rPr>
          <w:rFonts w:ascii="Times New Roman" w:eastAsia="Times New Roman" w:hAnsi="Times New Roman" w:cs="Times New Roman"/>
          <w:i/>
          <w:lang w:val="es-ES" w:eastAsia="es-ES"/>
        </w:rPr>
      </w:pPr>
    </w:p>
    <w:p w14:paraId="52E0E83D" w14:textId="1AD84C98" w:rsidR="00B53B45" w:rsidRPr="00FE5001" w:rsidRDefault="00B53B4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panorama de fines del </w:t>
      </w:r>
      <w:r w:rsidR="003F3A64" w:rsidRPr="00FE5001">
        <w:rPr>
          <w:rFonts w:ascii="Times New Roman" w:eastAsia="Times New Roman" w:hAnsi="Times New Roman" w:cs="Times New Roman"/>
          <w:i/>
          <w:lang w:val="es-ES" w:eastAsia="es-ES"/>
        </w:rPr>
        <w:t xml:space="preserve">ejercicio </w:t>
      </w:r>
      <w:r w:rsidRPr="00FE5001">
        <w:rPr>
          <w:rFonts w:ascii="Times New Roman" w:eastAsia="Times New Roman" w:hAnsi="Times New Roman" w:cs="Times New Roman"/>
          <w:i/>
          <w:lang w:val="es-ES" w:eastAsia="es-ES"/>
        </w:rPr>
        <w:t>da cuenta de una caída del PBI por habitante que experimentó la Argentina entre 2020 y 2021 que, si bien es perfectamente recuperable, para ello exige un nivel de cohesión interna en el ámbito político económico con objetivos de largo plazo orientados a la creación de consensos para alcanzar niveles de competitividad y productividad con generación de valor entre los diferentes sectores.</w:t>
      </w:r>
    </w:p>
    <w:p w14:paraId="193A482D" w14:textId="77777777" w:rsidR="00B53B45" w:rsidRPr="00FE5001" w:rsidRDefault="00B53B45" w:rsidP="008E7002">
      <w:pPr>
        <w:spacing w:after="0" w:line="240" w:lineRule="auto"/>
        <w:jc w:val="both"/>
        <w:rPr>
          <w:rFonts w:ascii="Times New Roman" w:eastAsia="Times New Roman" w:hAnsi="Times New Roman" w:cs="Times New Roman"/>
          <w:iCs/>
          <w:lang w:val="es-ES" w:eastAsia="es-ES"/>
        </w:rPr>
      </w:pPr>
    </w:p>
    <w:p w14:paraId="6D11EDD7" w14:textId="6B1797DD" w:rsidR="00095A11" w:rsidRPr="00FE5001" w:rsidRDefault="00095A11" w:rsidP="008E7002">
      <w:pPr>
        <w:spacing w:after="0" w:line="240" w:lineRule="auto"/>
        <w:jc w:val="both"/>
        <w:rPr>
          <w:rFonts w:ascii="Times New Roman" w:eastAsia="Times New Roman" w:hAnsi="Times New Roman" w:cs="Times New Roman"/>
          <w:b/>
          <w:i/>
          <w:lang w:val="es-ES" w:eastAsia="es-ES"/>
        </w:rPr>
      </w:pPr>
      <w:bookmarkStart w:id="4" w:name="_Hlk534385116"/>
      <w:r w:rsidRPr="00FE5001">
        <w:rPr>
          <w:rFonts w:ascii="Times New Roman" w:eastAsia="Times New Roman" w:hAnsi="Times New Roman" w:cs="Times New Roman"/>
          <w:b/>
          <w:i/>
          <w:lang w:val="es-ES" w:eastAsia="es-ES"/>
        </w:rPr>
        <w:t>COMENTARIOS DEL EJERCICIO 20</w:t>
      </w:r>
      <w:r w:rsidR="00247ABA" w:rsidRPr="00FE5001">
        <w:rPr>
          <w:rFonts w:ascii="Times New Roman" w:eastAsia="Times New Roman" w:hAnsi="Times New Roman" w:cs="Times New Roman"/>
          <w:b/>
          <w:i/>
          <w:lang w:val="es-ES" w:eastAsia="es-ES"/>
        </w:rPr>
        <w:t>20</w:t>
      </w:r>
      <w:r w:rsidRPr="00FE5001">
        <w:rPr>
          <w:rFonts w:ascii="Times New Roman" w:eastAsia="Times New Roman" w:hAnsi="Times New Roman" w:cs="Times New Roman"/>
          <w:b/>
          <w:i/>
          <w:lang w:val="es-ES" w:eastAsia="es-ES"/>
        </w:rPr>
        <w:t>/202</w:t>
      </w:r>
      <w:r w:rsidR="00247ABA" w:rsidRPr="00FE5001">
        <w:rPr>
          <w:rFonts w:ascii="Times New Roman" w:eastAsia="Times New Roman" w:hAnsi="Times New Roman" w:cs="Times New Roman"/>
          <w:b/>
          <w:i/>
          <w:lang w:val="es-ES" w:eastAsia="es-ES"/>
        </w:rPr>
        <w:t>1</w:t>
      </w:r>
    </w:p>
    <w:bookmarkEnd w:id="4"/>
    <w:p w14:paraId="63DE4FCF" w14:textId="77777777" w:rsidR="00095A11" w:rsidRPr="00FE5001" w:rsidRDefault="00095A11" w:rsidP="008E7002">
      <w:pPr>
        <w:spacing w:after="0" w:line="240" w:lineRule="auto"/>
        <w:jc w:val="both"/>
        <w:rPr>
          <w:rFonts w:ascii="Times New Roman" w:eastAsia="Times New Roman" w:hAnsi="Times New Roman" w:cs="Times New Roman"/>
          <w:i/>
          <w:lang w:eastAsia="es-ES"/>
        </w:rPr>
      </w:pPr>
    </w:p>
    <w:p w14:paraId="7C4CE962" w14:textId="75E16F49" w:rsidR="00095A11" w:rsidRPr="00FE5001" w:rsidRDefault="00095A11" w:rsidP="008E7002">
      <w:pPr>
        <w:spacing w:after="0" w:line="240" w:lineRule="auto"/>
        <w:jc w:val="both"/>
        <w:rPr>
          <w:rFonts w:ascii="Times New Roman" w:eastAsia="Times New Roman" w:hAnsi="Times New Roman" w:cs="Times New Roman"/>
          <w:i/>
          <w:lang w:eastAsia="es-ES"/>
        </w:rPr>
      </w:pPr>
      <w:r w:rsidRPr="00FE5001">
        <w:rPr>
          <w:rFonts w:ascii="Times New Roman" w:eastAsia="Times New Roman" w:hAnsi="Times New Roman" w:cs="Times New Roman"/>
          <w:i/>
          <w:lang w:eastAsia="es-ES"/>
        </w:rPr>
        <w:t>PANDEMIA CORONAVIRUS (</w:t>
      </w:r>
      <w:r w:rsidR="00B4407B" w:rsidRPr="00FE5001">
        <w:rPr>
          <w:rFonts w:ascii="Times New Roman" w:eastAsia="Times New Roman" w:hAnsi="Times New Roman" w:cs="Times New Roman"/>
          <w:i/>
          <w:lang w:eastAsia="es-ES"/>
        </w:rPr>
        <w:t>“</w:t>
      </w:r>
      <w:r w:rsidRPr="00FE5001">
        <w:rPr>
          <w:rFonts w:ascii="Times New Roman" w:eastAsia="Times New Roman" w:hAnsi="Times New Roman" w:cs="Times New Roman"/>
          <w:i/>
          <w:lang w:eastAsia="es-ES"/>
        </w:rPr>
        <w:t>COVID-19</w:t>
      </w:r>
      <w:r w:rsidR="00B4407B" w:rsidRPr="00FE5001">
        <w:rPr>
          <w:rFonts w:ascii="Times New Roman" w:eastAsia="Times New Roman" w:hAnsi="Times New Roman" w:cs="Times New Roman"/>
          <w:i/>
          <w:lang w:eastAsia="es-ES"/>
        </w:rPr>
        <w:t>”</w:t>
      </w:r>
      <w:r w:rsidRPr="00FE5001">
        <w:rPr>
          <w:rFonts w:ascii="Times New Roman" w:eastAsia="Times New Roman" w:hAnsi="Times New Roman" w:cs="Times New Roman"/>
          <w:i/>
          <w:lang w:eastAsia="es-ES"/>
        </w:rPr>
        <w:t>): Impacto en las actividades de BOLDT S.A. (en adelante, “Boldt”, la “Compañía” o la “Sociedad” de manera indistinta)</w:t>
      </w:r>
      <w:r w:rsidR="0045463A" w:rsidRPr="00FE5001">
        <w:rPr>
          <w:rFonts w:ascii="Times New Roman" w:eastAsia="Times New Roman" w:hAnsi="Times New Roman" w:cs="Times New Roman"/>
          <w:i/>
          <w:lang w:eastAsia="es-ES"/>
        </w:rPr>
        <w:t>.</w:t>
      </w:r>
    </w:p>
    <w:p w14:paraId="4D721B62" w14:textId="6644DA81" w:rsidR="00B53B45" w:rsidRPr="00FE5001" w:rsidRDefault="00B53B45" w:rsidP="00FE5001">
      <w:pPr>
        <w:spacing w:after="0" w:line="240" w:lineRule="auto"/>
        <w:jc w:val="both"/>
        <w:rPr>
          <w:rFonts w:ascii="Times New Roman" w:hAnsi="Times New Roman" w:cs="Times New Roman"/>
          <w:i/>
          <w:iCs/>
          <w:u w:val="single"/>
        </w:rPr>
      </w:pPr>
    </w:p>
    <w:p w14:paraId="2C58EB86" w14:textId="60D952C0" w:rsidR="00766953" w:rsidRPr="00FE5001" w:rsidRDefault="003A5379" w:rsidP="00FE5001">
      <w:pPr>
        <w:spacing w:after="0" w:line="240" w:lineRule="auto"/>
        <w:jc w:val="both"/>
        <w:rPr>
          <w:rFonts w:ascii="Times New Roman" w:hAnsi="Times New Roman" w:cs="Times New Roman"/>
          <w:i/>
          <w:iCs/>
        </w:rPr>
      </w:pPr>
      <w:r w:rsidRPr="003A5379">
        <w:rPr>
          <w:rFonts w:ascii="Times New Roman" w:hAnsi="Times New Roman" w:cs="Times New Roman"/>
          <w:i/>
          <w:iCs/>
        </w:rPr>
        <w:t>Durante el ejercicio 2020, la Organización Mundial de la Salud ("OMS") anunció una emergencia sanitaria mundial debido a un brote en una nueva cepa de coronavirus originada en Wuhan, China (“COVID-19") la que ya en marzo de 2020, fue clasificada como una pandemia, en función del rápido aumento de la exposición a nivel mundial. Como consecuencia de ello el Gobierno Nacional, adoptó una serie de medidas hacer frente a esta emergencia, que incluyeron “aislamiento social, preventivo y obligatorio” y el “distanciamiento social, preventivo y obligatorio”</w:t>
      </w:r>
      <w:r w:rsidR="00766953" w:rsidRPr="00FE5001">
        <w:rPr>
          <w:rFonts w:ascii="Times New Roman" w:hAnsi="Times New Roman" w:cs="Times New Roman"/>
          <w:i/>
          <w:iCs/>
        </w:rPr>
        <w:t>.</w:t>
      </w:r>
    </w:p>
    <w:p w14:paraId="4789F6E8" w14:textId="77777777" w:rsidR="008E7002" w:rsidRPr="00FE5001" w:rsidRDefault="008E7002" w:rsidP="008E7002">
      <w:pPr>
        <w:spacing w:after="0" w:line="240" w:lineRule="auto"/>
        <w:jc w:val="both"/>
        <w:rPr>
          <w:rFonts w:ascii="Times New Roman" w:hAnsi="Times New Roman" w:cs="Times New Roman"/>
          <w:i/>
          <w:iCs/>
        </w:rPr>
      </w:pPr>
    </w:p>
    <w:p w14:paraId="60931B61" w14:textId="564BBADF" w:rsidR="00766953" w:rsidRPr="00FE5001" w:rsidRDefault="003A5379" w:rsidP="00FE5001">
      <w:pPr>
        <w:spacing w:after="0" w:line="240" w:lineRule="auto"/>
        <w:jc w:val="both"/>
        <w:rPr>
          <w:rFonts w:ascii="Times New Roman" w:hAnsi="Times New Roman" w:cs="Times New Roman"/>
          <w:i/>
          <w:iCs/>
        </w:rPr>
      </w:pPr>
      <w:r w:rsidRPr="003A5379">
        <w:rPr>
          <w:rFonts w:ascii="Times New Roman" w:hAnsi="Times New Roman" w:cs="Times New Roman"/>
          <w:i/>
          <w:iCs/>
        </w:rPr>
        <w:t>Durante el ejercicio 2021 las medidas sanitarias se fueron flexibilizando conforme los contagios fueron aminorando por efecto del inicio de los procesos de inoculación de la población. Sin perjuicio de ello e</w:t>
      </w:r>
      <w:r w:rsidR="00766953" w:rsidRPr="00FE5001">
        <w:rPr>
          <w:rFonts w:ascii="Times New Roman" w:hAnsi="Times New Roman" w:cs="Times New Roman"/>
          <w:i/>
          <w:iCs/>
        </w:rPr>
        <w:t>l impacto total del brote de COVID-19 continúa evolucionando a la fecha del presente ejercicio y, en consecuencia, existe incertidumbre en cuanto a la magnitud total que</w:t>
      </w:r>
      <w:r w:rsidR="002C4A25" w:rsidRPr="00FE5001">
        <w:rPr>
          <w:rFonts w:ascii="Times New Roman" w:hAnsi="Times New Roman" w:cs="Times New Roman"/>
          <w:i/>
          <w:iCs/>
        </w:rPr>
        <w:t xml:space="preserve"> </w:t>
      </w:r>
      <w:r w:rsidR="00766953" w:rsidRPr="00FE5001">
        <w:rPr>
          <w:rFonts w:ascii="Times New Roman" w:hAnsi="Times New Roman" w:cs="Times New Roman"/>
          <w:i/>
          <w:iCs/>
        </w:rPr>
        <w:t>tendrá la pandemia sobre la actividad económica, tanto a nivel internacional como local.</w:t>
      </w:r>
    </w:p>
    <w:p w14:paraId="01DA4B81" w14:textId="77777777" w:rsidR="008E7002" w:rsidRPr="00FE5001" w:rsidRDefault="008E7002" w:rsidP="008E7002">
      <w:pPr>
        <w:spacing w:after="0" w:line="240" w:lineRule="auto"/>
        <w:jc w:val="both"/>
        <w:rPr>
          <w:rFonts w:ascii="Times New Roman" w:hAnsi="Times New Roman" w:cs="Times New Roman"/>
          <w:i/>
          <w:iCs/>
        </w:rPr>
      </w:pPr>
      <w:bookmarkStart w:id="5" w:name="_Hlk92273535"/>
    </w:p>
    <w:p w14:paraId="396D4B5D" w14:textId="6F89504B" w:rsidR="002626D8" w:rsidRPr="00FE5001" w:rsidRDefault="002626D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Como parte de las medidas adoptadas por la Sociedad frente a la pandemia, se destaca el acogimiento al Programa de Asistencia al Trabajo (“ATP”) dispuesto por el Gobierno Nacional mediante el Decreto de Necesidad y Urgencia 332/2020, obteniendo beneficios para el mes de abril de 2020. A partir de mayo del 2020 inclusive en adelante, la Sociedad no solicitó nuevamente el acogimiento al ATP.</w:t>
      </w:r>
    </w:p>
    <w:p w14:paraId="30F10F98" w14:textId="77777777" w:rsidR="002626D8" w:rsidRPr="00FE5001" w:rsidRDefault="002626D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 </w:t>
      </w:r>
    </w:p>
    <w:p w14:paraId="2AF007C5" w14:textId="77777777" w:rsidR="002626D8" w:rsidRPr="00FE5001" w:rsidRDefault="002626D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Estas situaciones motivaron también la suspensión de los trabajadores de la Sociedad en los términos del artículo 223 bis de la Ley 20.744 de Contrato de Trabajo durante los meses de abril y mayo de 2020. Dicha suspensión se mantiene en forma parcial hasta la fecha de emisión de la presente Memoria para una parte del personal afectado a los casinos.</w:t>
      </w:r>
    </w:p>
    <w:p w14:paraId="384CE0C1" w14:textId="77777777" w:rsidR="008E7002" w:rsidRPr="00FE5001" w:rsidRDefault="008E7002" w:rsidP="00FE5001">
      <w:pPr>
        <w:spacing w:after="0" w:line="240" w:lineRule="auto"/>
        <w:jc w:val="both"/>
        <w:rPr>
          <w:rFonts w:ascii="Times New Roman" w:hAnsi="Times New Roman" w:cs="Times New Roman"/>
          <w:i/>
          <w:iCs/>
        </w:rPr>
      </w:pPr>
    </w:p>
    <w:p w14:paraId="26693ECF" w14:textId="379A1821" w:rsidR="00766953" w:rsidRPr="00FE5001" w:rsidRDefault="002626D8" w:rsidP="00FE5001">
      <w:pPr>
        <w:spacing w:after="0" w:line="240" w:lineRule="auto"/>
        <w:jc w:val="both"/>
        <w:rPr>
          <w:rFonts w:ascii="Times New Roman" w:hAnsi="Times New Roman" w:cs="Times New Roman"/>
          <w:i/>
          <w:iCs/>
          <w:u w:val="single"/>
        </w:rPr>
      </w:pPr>
      <w:r w:rsidRPr="00FE5001">
        <w:rPr>
          <w:rFonts w:ascii="Times New Roman" w:hAnsi="Times New Roman" w:cs="Times New Roman"/>
          <w:i/>
          <w:iCs/>
        </w:rPr>
        <w:t xml:space="preserve">Por otro lado, conforme lo establece el artículo 223 bis de la Ley 20.744 de Contrato de Trabajo, las remuneraciones de los trabajadores, mientras permanecen suspendidos, se considera prestación no remunerativa y, en consecuencia, solo se han tributado las contribuciones correspondientes a Sistema de Obras Sociales y al Fondo Solidario de Redistribución. </w:t>
      </w:r>
      <w:bookmarkEnd w:id="5"/>
      <w:r w:rsidR="00766953" w:rsidRPr="00FE5001">
        <w:rPr>
          <w:rFonts w:ascii="Times New Roman" w:hAnsi="Times New Roman" w:cs="Times New Roman"/>
          <w:i/>
          <w:iCs/>
        </w:rPr>
        <w:t xml:space="preserve">La Dirección y Gerencia de la Sociedad se encuentran monitoreando activamente la situación de la </w:t>
      </w:r>
      <w:r w:rsidR="00766953" w:rsidRPr="00FE5001">
        <w:rPr>
          <w:rFonts w:ascii="Times New Roman" w:hAnsi="Times New Roman" w:cs="Times New Roman"/>
          <w:i/>
          <w:iCs/>
        </w:rPr>
        <w:lastRenderedPageBreak/>
        <w:t>evolución de la pandemia y su impacto sobre sus variables económicas, financieras, de liquidez, de operaciones, proveedores, industria y mano de obra</w:t>
      </w:r>
      <w:r w:rsidR="00DE2B38" w:rsidRPr="00FE5001">
        <w:rPr>
          <w:rFonts w:ascii="Times New Roman" w:hAnsi="Times New Roman" w:cs="Times New Roman"/>
          <w:i/>
          <w:iCs/>
        </w:rPr>
        <w:t xml:space="preserve"> cuyos hechos resumimos a continuación</w:t>
      </w:r>
      <w:r w:rsidR="00DE2B38" w:rsidRPr="00FE5001">
        <w:rPr>
          <w:rFonts w:ascii="Times New Roman" w:hAnsi="Times New Roman" w:cs="Times New Roman"/>
          <w:i/>
          <w:iCs/>
          <w:u w:val="single"/>
        </w:rPr>
        <w:t>:</w:t>
      </w:r>
    </w:p>
    <w:p w14:paraId="3E75B4F1" w14:textId="77777777" w:rsidR="008E7002" w:rsidRPr="00FE5001" w:rsidRDefault="008E7002" w:rsidP="008E7002">
      <w:pPr>
        <w:spacing w:after="0" w:line="240" w:lineRule="auto"/>
        <w:jc w:val="both"/>
        <w:rPr>
          <w:rFonts w:ascii="Times New Roman" w:eastAsia="Times New Roman" w:hAnsi="Times New Roman" w:cs="Times New Roman"/>
          <w:b/>
          <w:i/>
          <w:lang w:eastAsia="es-ES"/>
        </w:rPr>
      </w:pPr>
    </w:p>
    <w:p w14:paraId="30E9954C" w14:textId="4F35E042" w:rsidR="00563358" w:rsidRPr="00FE5001" w:rsidRDefault="00713CCD" w:rsidP="008E7002">
      <w:pPr>
        <w:spacing w:after="0" w:line="240" w:lineRule="auto"/>
        <w:jc w:val="both"/>
        <w:rPr>
          <w:rFonts w:ascii="Times New Roman" w:eastAsia="Times New Roman" w:hAnsi="Times New Roman" w:cs="Times New Roman"/>
          <w:bCs/>
          <w:i/>
          <w:lang w:eastAsia="es-ES"/>
        </w:rPr>
      </w:pPr>
      <w:r w:rsidRPr="00FE5001">
        <w:rPr>
          <w:rFonts w:ascii="Times New Roman" w:eastAsia="Times New Roman" w:hAnsi="Times New Roman" w:cs="Times New Roman"/>
          <w:b/>
          <w:i/>
          <w:lang w:eastAsia="es-ES"/>
        </w:rPr>
        <w:t>Acciones en</w:t>
      </w:r>
      <w:r w:rsidR="00DE2B38" w:rsidRPr="00FE5001">
        <w:rPr>
          <w:rFonts w:ascii="Times New Roman" w:eastAsia="Times New Roman" w:hAnsi="Times New Roman" w:cs="Times New Roman"/>
          <w:b/>
          <w:i/>
          <w:lang w:eastAsia="es-ES"/>
        </w:rPr>
        <w:t xml:space="preserve"> Planeamiento </w:t>
      </w:r>
      <w:r w:rsidR="00537325" w:rsidRPr="00FE5001">
        <w:rPr>
          <w:rFonts w:ascii="Times New Roman" w:eastAsia="Times New Roman" w:hAnsi="Times New Roman" w:cs="Times New Roman"/>
          <w:b/>
          <w:i/>
          <w:lang w:eastAsia="es-ES"/>
        </w:rPr>
        <w:t>a Largo Plazo</w:t>
      </w:r>
      <w:r w:rsidRPr="00FE5001">
        <w:rPr>
          <w:rFonts w:ascii="Times New Roman" w:eastAsia="Times New Roman" w:hAnsi="Times New Roman" w:cs="Times New Roman"/>
          <w:b/>
          <w:i/>
          <w:lang w:eastAsia="es-ES"/>
        </w:rPr>
        <w:t xml:space="preserve">. </w:t>
      </w:r>
      <w:r w:rsidR="00563358" w:rsidRPr="00FE5001">
        <w:rPr>
          <w:rFonts w:ascii="Times New Roman" w:eastAsia="Times New Roman" w:hAnsi="Times New Roman" w:cs="Times New Roman"/>
          <w:bCs/>
          <w:i/>
          <w:lang w:eastAsia="es-ES"/>
        </w:rPr>
        <w:t>La organización comenzó un proceso con el asesoramiento de una consultora la que permitirá formar una visión estratégica conjunta de todos los negocios. Asimilando los desafíos del mercado en el cual actuamos y aquellos que pretendemos alcanzar con mirada a futuro trazando un plan donde las sinergias entre negocios será un activo clave.</w:t>
      </w:r>
    </w:p>
    <w:p w14:paraId="229C020B" w14:textId="77777777" w:rsidR="00DE2B38" w:rsidRPr="00FE5001" w:rsidRDefault="00DE2B38" w:rsidP="008E7002">
      <w:pPr>
        <w:spacing w:after="0" w:line="240" w:lineRule="auto"/>
        <w:jc w:val="both"/>
        <w:rPr>
          <w:rFonts w:ascii="Times New Roman" w:eastAsia="Times New Roman" w:hAnsi="Times New Roman" w:cs="Times New Roman"/>
          <w:b/>
          <w:i/>
          <w:lang w:eastAsia="es-ES"/>
        </w:rPr>
      </w:pPr>
    </w:p>
    <w:p w14:paraId="10FA7D1C" w14:textId="0466C9A3" w:rsidR="00DE2B38" w:rsidRPr="00FE5001" w:rsidRDefault="00713CCD" w:rsidP="008E7002">
      <w:pPr>
        <w:spacing w:after="0" w:line="240" w:lineRule="auto"/>
        <w:jc w:val="both"/>
        <w:rPr>
          <w:rFonts w:ascii="Times New Roman" w:eastAsia="Times New Roman" w:hAnsi="Times New Roman" w:cs="Times New Roman"/>
          <w:i/>
          <w:lang w:eastAsia="es-ES"/>
        </w:rPr>
      </w:pPr>
      <w:r w:rsidRPr="00FE5001">
        <w:rPr>
          <w:rFonts w:ascii="Times New Roman" w:eastAsia="Times New Roman" w:hAnsi="Times New Roman" w:cs="Times New Roman"/>
          <w:b/>
          <w:i/>
          <w:lang w:eastAsia="es-ES"/>
        </w:rPr>
        <w:t xml:space="preserve">Acciones en </w:t>
      </w:r>
      <w:r w:rsidR="00DE2B38" w:rsidRPr="00FE5001">
        <w:rPr>
          <w:rFonts w:ascii="Times New Roman" w:eastAsia="Times New Roman" w:hAnsi="Times New Roman" w:cs="Times New Roman"/>
          <w:b/>
          <w:i/>
          <w:lang w:eastAsia="es-ES"/>
        </w:rPr>
        <w:t xml:space="preserve">gestión </w:t>
      </w:r>
      <w:r w:rsidR="007524E1" w:rsidRPr="00FE5001">
        <w:rPr>
          <w:rFonts w:ascii="Times New Roman" w:eastAsia="Times New Roman" w:hAnsi="Times New Roman" w:cs="Times New Roman"/>
          <w:bCs/>
          <w:i/>
          <w:lang w:eastAsia="es-ES"/>
        </w:rPr>
        <w:t>el</w:t>
      </w:r>
      <w:r w:rsidR="00DE2B38" w:rsidRPr="00FE5001">
        <w:rPr>
          <w:rFonts w:ascii="Times New Roman" w:eastAsia="Times New Roman" w:hAnsi="Times New Roman" w:cs="Times New Roman"/>
          <w:bCs/>
          <w:i/>
          <w:lang w:eastAsia="es-ES"/>
        </w:rPr>
        <w:t xml:space="preserve"> modelo de planeamiento por objetivos </w:t>
      </w:r>
      <w:r w:rsidR="007524E1" w:rsidRPr="00FE5001">
        <w:rPr>
          <w:rFonts w:ascii="Times New Roman" w:eastAsia="Times New Roman" w:hAnsi="Times New Roman" w:cs="Times New Roman"/>
          <w:bCs/>
          <w:i/>
          <w:lang w:eastAsia="es-ES"/>
        </w:rPr>
        <w:t xml:space="preserve">hoy </w:t>
      </w:r>
      <w:r w:rsidR="00DE2B38" w:rsidRPr="00FE5001">
        <w:rPr>
          <w:rFonts w:ascii="Times New Roman" w:eastAsia="Times New Roman" w:hAnsi="Times New Roman" w:cs="Times New Roman"/>
          <w:bCs/>
          <w:i/>
          <w:lang w:eastAsia="es-ES"/>
        </w:rPr>
        <w:t xml:space="preserve">se aplica hacia todos los niveles organizativos donde mediante la concatenación de información generada por nuestro ERP de última generación, SAP y los esquemas de gestión del desempeño de recursos humanos </w:t>
      </w:r>
      <w:r w:rsidR="002F0198" w:rsidRPr="00FE5001">
        <w:rPr>
          <w:rFonts w:ascii="Times New Roman" w:eastAsia="Times New Roman" w:hAnsi="Times New Roman" w:cs="Times New Roman"/>
          <w:bCs/>
          <w:i/>
          <w:lang w:eastAsia="es-ES"/>
        </w:rPr>
        <w:t>-</w:t>
      </w:r>
      <w:r w:rsidR="00DE2B38" w:rsidRPr="00FE5001">
        <w:rPr>
          <w:rFonts w:ascii="Times New Roman" w:eastAsia="Times New Roman" w:hAnsi="Times New Roman" w:cs="Times New Roman"/>
          <w:bCs/>
          <w:i/>
          <w:lang w:eastAsia="es-ES"/>
        </w:rPr>
        <w:t xml:space="preserve">a través del vector de </w:t>
      </w:r>
      <w:proofErr w:type="spellStart"/>
      <w:r w:rsidR="00DE2B38" w:rsidRPr="00FE5001">
        <w:rPr>
          <w:rFonts w:ascii="Times New Roman" w:eastAsia="Times New Roman" w:hAnsi="Times New Roman" w:cs="Times New Roman"/>
          <w:bCs/>
          <w:i/>
          <w:lang w:eastAsia="es-ES"/>
        </w:rPr>
        <w:t>Success</w:t>
      </w:r>
      <w:proofErr w:type="spellEnd"/>
      <w:r w:rsidR="00DE2B38" w:rsidRPr="00FE5001">
        <w:rPr>
          <w:rFonts w:ascii="Times New Roman" w:eastAsia="Times New Roman" w:hAnsi="Times New Roman" w:cs="Times New Roman"/>
          <w:bCs/>
          <w:i/>
          <w:lang w:eastAsia="es-ES"/>
        </w:rPr>
        <w:t xml:space="preserve"> </w:t>
      </w:r>
      <w:proofErr w:type="spellStart"/>
      <w:r w:rsidR="00DE2B38" w:rsidRPr="00FE5001">
        <w:rPr>
          <w:rFonts w:ascii="Times New Roman" w:eastAsia="Times New Roman" w:hAnsi="Times New Roman" w:cs="Times New Roman"/>
          <w:bCs/>
          <w:i/>
          <w:lang w:eastAsia="es-ES"/>
        </w:rPr>
        <w:t>Factors</w:t>
      </w:r>
      <w:proofErr w:type="spellEnd"/>
      <w:r w:rsidR="002F0198" w:rsidRPr="00FE5001">
        <w:rPr>
          <w:rFonts w:ascii="Times New Roman" w:eastAsia="Times New Roman" w:hAnsi="Times New Roman" w:cs="Times New Roman"/>
          <w:bCs/>
          <w:i/>
          <w:lang w:eastAsia="es-ES"/>
        </w:rPr>
        <w:t>-,</w:t>
      </w:r>
      <w:r w:rsidR="00DE2B38" w:rsidRPr="00FE5001">
        <w:rPr>
          <w:rFonts w:ascii="Times New Roman" w:eastAsia="Times New Roman" w:hAnsi="Times New Roman" w:cs="Times New Roman"/>
          <w:bCs/>
          <w:i/>
          <w:lang w:eastAsia="es-ES"/>
        </w:rPr>
        <w:t xml:space="preserve"> permiten que la organización esté </w:t>
      </w:r>
      <w:r w:rsidR="007524E1" w:rsidRPr="00FE5001">
        <w:rPr>
          <w:rFonts w:ascii="Times New Roman" w:eastAsia="Times New Roman" w:hAnsi="Times New Roman" w:cs="Times New Roman"/>
          <w:bCs/>
          <w:i/>
          <w:lang w:eastAsia="es-ES"/>
        </w:rPr>
        <w:t>alineada a la ejecución de las acciones del plan estratégico diseñado</w:t>
      </w:r>
      <w:r w:rsidR="00DE2B38" w:rsidRPr="00FE5001">
        <w:rPr>
          <w:rFonts w:ascii="Times New Roman" w:eastAsia="Times New Roman" w:hAnsi="Times New Roman" w:cs="Times New Roman"/>
          <w:b/>
          <w:i/>
          <w:lang w:eastAsia="es-ES"/>
        </w:rPr>
        <w:t>.</w:t>
      </w:r>
    </w:p>
    <w:p w14:paraId="749E5B3C" w14:textId="77777777" w:rsidR="00DE2B38" w:rsidRPr="00FE5001" w:rsidRDefault="00DE2B38" w:rsidP="008E7002">
      <w:pPr>
        <w:keepNext/>
        <w:tabs>
          <w:tab w:val="left" w:pos="-720"/>
        </w:tabs>
        <w:suppressAutoHyphens/>
        <w:spacing w:after="0" w:line="240" w:lineRule="auto"/>
        <w:jc w:val="both"/>
        <w:outlineLvl w:val="4"/>
        <w:rPr>
          <w:rFonts w:ascii="Times New Roman" w:eastAsia="Times New Roman" w:hAnsi="Times New Roman" w:cs="Times New Roman"/>
          <w:i/>
          <w:spacing w:val="-2"/>
          <w:lang w:val="es-ES_tradnl" w:eastAsia="es-ES"/>
        </w:rPr>
      </w:pPr>
    </w:p>
    <w:p w14:paraId="174FA709" w14:textId="44B86899" w:rsidR="00766953" w:rsidRPr="00FE5001" w:rsidRDefault="00713CCD" w:rsidP="00FE5001">
      <w:pPr>
        <w:spacing w:after="0" w:line="240" w:lineRule="auto"/>
        <w:jc w:val="both"/>
        <w:rPr>
          <w:rFonts w:ascii="Times New Roman" w:hAnsi="Times New Roman" w:cs="Times New Roman"/>
          <w:i/>
          <w:iCs/>
          <w:u w:val="single"/>
        </w:rPr>
      </w:pPr>
      <w:r w:rsidRPr="00FE5001">
        <w:rPr>
          <w:rFonts w:ascii="Times New Roman" w:eastAsia="Times New Roman" w:hAnsi="Times New Roman" w:cs="Times New Roman"/>
          <w:b/>
          <w:i/>
          <w:lang w:val="es-ES" w:eastAsia="es-ES"/>
        </w:rPr>
        <w:t>A</w:t>
      </w:r>
      <w:r w:rsidR="00DE2B38" w:rsidRPr="00FE5001">
        <w:rPr>
          <w:rFonts w:ascii="Times New Roman" w:eastAsia="Times New Roman" w:hAnsi="Times New Roman" w:cs="Times New Roman"/>
          <w:b/>
          <w:i/>
          <w:lang w:val="es-ES" w:eastAsia="es-ES"/>
        </w:rPr>
        <w:t>plicación de nuevas tecnologías</w:t>
      </w:r>
      <w:r w:rsidR="002626D8" w:rsidRPr="00FE5001">
        <w:rPr>
          <w:rFonts w:ascii="Times New Roman" w:eastAsia="Times New Roman" w:hAnsi="Times New Roman" w:cs="Times New Roman"/>
          <w:b/>
          <w:i/>
          <w:lang w:val="es-ES" w:eastAsia="es-ES"/>
        </w:rPr>
        <w:t>:</w:t>
      </w:r>
      <w:r w:rsidR="00DE2B38" w:rsidRPr="00FE5001">
        <w:rPr>
          <w:rFonts w:ascii="Times New Roman" w:eastAsia="Times New Roman" w:hAnsi="Times New Roman" w:cs="Times New Roman"/>
          <w:b/>
          <w:i/>
          <w:lang w:val="es-ES" w:eastAsia="es-ES"/>
        </w:rPr>
        <w:t xml:space="preserve"> </w:t>
      </w:r>
      <w:r w:rsidRPr="00FE5001">
        <w:rPr>
          <w:rFonts w:ascii="Times New Roman" w:eastAsia="Times New Roman" w:hAnsi="Times New Roman" w:cs="Times New Roman"/>
          <w:bCs/>
          <w:i/>
          <w:lang w:val="es-ES" w:eastAsia="es-ES"/>
        </w:rPr>
        <w:t>hemos</w:t>
      </w:r>
      <w:r w:rsidRPr="00FE5001">
        <w:rPr>
          <w:rFonts w:ascii="Times New Roman" w:eastAsia="Times New Roman" w:hAnsi="Times New Roman" w:cs="Times New Roman"/>
          <w:b/>
          <w:i/>
          <w:lang w:val="es-ES" w:eastAsia="es-ES"/>
        </w:rPr>
        <w:t xml:space="preserve"> </w:t>
      </w:r>
      <w:r w:rsidR="00DE2B38" w:rsidRPr="00FE5001">
        <w:rPr>
          <w:rFonts w:ascii="Times New Roman" w:eastAsia="Times New Roman" w:hAnsi="Times New Roman" w:cs="Times New Roman"/>
          <w:bCs/>
          <w:i/>
          <w:lang w:val="es-ES" w:eastAsia="es-ES"/>
        </w:rPr>
        <w:t>desarrollado el concepto de Boldt Digital</w:t>
      </w:r>
      <w:r w:rsidRPr="00FE5001">
        <w:rPr>
          <w:rFonts w:ascii="Times New Roman" w:eastAsia="Times New Roman" w:hAnsi="Times New Roman" w:cs="Times New Roman"/>
          <w:bCs/>
          <w:i/>
          <w:lang w:val="es-ES" w:eastAsia="es-ES"/>
        </w:rPr>
        <w:t xml:space="preserve"> con la marca WEIGO</w:t>
      </w:r>
      <w:r w:rsidR="00DE2B38" w:rsidRPr="00FE5001">
        <w:rPr>
          <w:rFonts w:ascii="Times New Roman" w:eastAsia="Times New Roman" w:hAnsi="Times New Roman" w:cs="Times New Roman"/>
          <w:bCs/>
          <w:i/>
          <w:lang w:val="es-ES" w:eastAsia="es-ES"/>
        </w:rPr>
        <w:t>,</w:t>
      </w:r>
      <w:r w:rsidR="002F0198" w:rsidRPr="00FE5001">
        <w:rPr>
          <w:rFonts w:ascii="Times New Roman" w:eastAsia="Times New Roman" w:hAnsi="Times New Roman" w:cs="Times New Roman"/>
          <w:bCs/>
          <w:i/>
          <w:lang w:val="es-ES" w:eastAsia="es-ES"/>
        </w:rPr>
        <w:t xml:space="preserve"> lo</w:t>
      </w:r>
      <w:r w:rsidR="00DE2B38" w:rsidRPr="00FE5001">
        <w:rPr>
          <w:rFonts w:ascii="Times New Roman" w:eastAsia="Times New Roman" w:hAnsi="Times New Roman" w:cs="Times New Roman"/>
          <w:bCs/>
          <w:i/>
          <w:lang w:val="es-ES" w:eastAsia="es-ES"/>
        </w:rPr>
        <w:t xml:space="preserve"> que nos permitirá la integración de los negocios existentes y los nuevos negocios con tecnología y software</w:t>
      </w:r>
      <w:r w:rsidR="002F0198" w:rsidRPr="00FE5001">
        <w:rPr>
          <w:rFonts w:ascii="Times New Roman" w:eastAsia="Times New Roman" w:hAnsi="Times New Roman" w:cs="Times New Roman"/>
          <w:bCs/>
          <w:i/>
          <w:lang w:val="es-ES" w:eastAsia="es-ES"/>
        </w:rPr>
        <w:t xml:space="preserve">, con el objetivo de </w:t>
      </w:r>
      <w:r w:rsidR="00DE2B38" w:rsidRPr="00FE5001">
        <w:rPr>
          <w:rFonts w:ascii="Times New Roman" w:eastAsia="Times New Roman" w:hAnsi="Times New Roman" w:cs="Times New Roman"/>
          <w:bCs/>
          <w:i/>
          <w:lang w:val="es-ES" w:eastAsia="es-ES"/>
        </w:rPr>
        <w:t xml:space="preserve">ofrecer a nuestros clientes nuevas funcionalidades y aplicaciones </w:t>
      </w:r>
      <w:r w:rsidR="002F0198" w:rsidRPr="00FE5001">
        <w:rPr>
          <w:rFonts w:ascii="Times New Roman" w:eastAsia="Times New Roman" w:hAnsi="Times New Roman" w:cs="Times New Roman"/>
          <w:bCs/>
          <w:i/>
          <w:lang w:val="es-ES" w:eastAsia="es-ES"/>
        </w:rPr>
        <w:t xml:space="preserve">y </w:t>
      </w:r>
      <w:r w:rsidR="00DE2B38" w:rsidRPr="00FE5001">
        <w:rPr>
          <w:rFonts w:ascii="Times New Roman" w:eastAsia="Times New Roman" w:hAnsi="Times New Roman" w:cs="Times New Roman"/>
          <w:bCs/>
          <w:i/>
          <w:lang w:val="es-ES" w:eastAsia="es-ES"/>
        </w:rPr>
        <w:t xml:space="preserve">la utilización del marketing digital </w:t>
      </w:r>
      <w:r w:rsidR="002F0198" w:rsidRPr="00FE5001">
        <w:rPr>
          <w:rFonts w:ascii="Times New Roman" w:eastAsia="Times New Roman" w:hAnsi="Times New Roman" w:cs="Times New Roman"/>
          <w:bCs/>
          <w:i/>
          <w:lang w:val="es-ES" w:eastAsia="es-ES"/>
        </w:rPr>
        <w:t xml:space="preserve">en miras a </w:t>
      </w:r>
      <w:r w:rsidR="00DE2B38" w:rsidRPr="00FE5001">
        <w:rPr>
          <w:rFonts w:ascii="Times New Roman" w:eastAsia="Times New Roman" w:hAnsi="Times New Roman" w:cs="Times New Roman"/>
          <w:bCs/>
          <w:i/>
          <w:lang w:val="es-ES" w:eastAsia="es-ES"/>
        </w:rPr>
        <w:t>un mejor posicionamiento en el mercado</w:t>
      </w:r>
      <w:r w:rsidR="002F0198" w:rsidRPr="00FE5001">
        <w:rPr>
          <w:rFonts w:ascii="Times New Roman" w:eastAsia="Times New Roman" w:hAnsi="Times New Roman" w:cs="Times New Roman"/>
          <w:bCs/>
          <w:i/>
          <w:lang w:val="es-ES" w:eastAsia="es-ES"/>
        </w:rPr>
        <w:t>.</w:t>
      </w:r>
    </w:p>
    <w:p w14:paraId="2EA1E05D" w14:textId="77777777" w:rsidR="00FE5001" w:rsidRDefault="00FE5001" w:rsidP="008E7002">
      <w:pPr>
        <w:spacing w:after="0" w:line="240" w:lineRule="auto"/>
        <w:jc w:val="both"/>
        <w:rPr>
          <w:rFonts w:ascii="Times New Roman" w:hAnsi="Times New Roman" w:cs="Times New Roman"/>
          <w:b/>
          <w:bCs/>
          <w:i/>
          <w:iCs/>
        </w:rPr>
      </w:pPr>
    </w:p>
    <w:p w14:paraId="37503845" w14:textId="2460BF91" w:rsidR="000C3B15" w:rsidRPr="00FE5001" w:rsidRDefault="00385C8A" w:rsidP="008E7002">
      <w:pPr>
        <w:spacing w:after="0" w:line="240" w:lineRule="auto"/>
        <w:jc w:val="both"/>
        <w:rPr>
          <w:rFonts w:ascii="Times New Roman" w:eastAsia="Times New Roman" w:hAnsi="Times New Roman" w:cs="Times New Roman"/>
          <w:b/>
          <w:i/>
          <w:lang w:val="es-ES" w:eastAsia="es-ES"/>
        </w:rPr>
      </w:pPr>
      <w:r w:rsidRPr="00FE5001">
        <w:rPr>
          <w:rFonts w:ascii="Times New Roman" w:hAnsi="Times New Roman" w:cs="Times New Roman"/>
          <w:b/>
          <w:bCs/>
          <w:i/>
          <w:iCs/>
        </w:rPr>
        <w:t xml:space="preserve">Boldt Vial </w:t>
      </w:r>
      <w:r w:rsidR="000C3B15" w:rsidRPr="00FE5001">
        <w:rPr>
          <w:rFonts w:ascii="Times New Roman" w:eastAsia="Times New Roman" w:hAnsi="Times New Roman" w:cs="Times New Roman"/>
          <w:b/>
          <w:i/>
          <w:lang w:val="es-ES" w:eastAsia="es-ES"/>
        </w:rPr>
        <w:t>y Nuevos Negocios</w:t>
      </w:r>
    </w:p>
    <w:p w14:paraId="5E104377" w14:textId="77777777" w:rsidR="002F0198" w:rsidRPr="00FE5001" w:rsidRDefault="002F0198" w:rsidP="00FE5001">
      <w:pPr>
        <w:spacing w:after="0" w:line="240" w:lineRule="auto"/>
        <w:jc w:val="both"/>
        <w:rPr>
          <w:rFonts w:ascii="Times New Roman" w:hAnsi="Times New Roman" w:cs="Times New Roman"/>
          <w:i/>
          <w:iCs/>
        </w:rPr>
      </w:pPr>
    </w:p>
    <w:p w14:paraId="75A4DD47" w14:textId="71919E1B" w:rsidR="002D2850" w:rsidRPr="00FE5001" w:rsidRDefault="00553072"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La unidad de negocios </w:t>
      </w:r>
      <w:r w:rsidR="00A93A54" w:rsidRPr="00FE5001">
        <w:rPr>
          <w:rFonts w:ascii="Times New Roman" w:hAnsi="Times New Roman" w:cs="Times New Roman"/>
          <w:i/>
          <w:iCs/>
        </w:rPr>
        <w:t xml:space="preserve">de seguridad vial, </w:t>
      </w:r>
      <w:r w:rsidRPr="00FE5001">
        <w:rPr>
          <w:rFonts w:ascii="Times New Roman" w:hAnsi="Times New Roman" w:cs="Times New Roman"/>
          <w:i/>
          <w:iCs/>
        </w:rPr>
        <w:t>Boldt Vial</w:t>
      </w:r>
      <w:r w:rsidR="00A93A54" w:rsidRPr="00FE5001">
        <w:rPr>
          <w:rFonts w:ascii="Times New Roman" w:hAnsi="Times New Roman" w:cs="Times New Roman"/>
          <w:i/>
          <w:iCs/>
        </w:rPr>
        <w:t>,</w:t>
      </w:r>
      <w:r w:rsidR="00385C8A" w:rsidRPr="00FE5001">
        <w:rPr>
          <w:rFonts w:ascii="Times New Roman" w:hAnsi="Times New Roman" w:cs="Times New Roman"/>
          <w:i/>
          <w:iCs/>
        </w:rPr>
        <w:t xml:space="preserve"> contin</w:t>
      </w:r>
      <w:r w:rsidR="00051544" w:rsidRPr="00FE5001">
        <w:rPr>
          <w:rFonts w:ascii="Times New Roman" w:hAnsi="Times New Roman" w:cs="Times New Roman"/>
          <w:i/>
          <w:iCs/>
        </w:rPr>
        <w:t>ú</w:t>
      </w:r>
      <w:r w:rsidR="00385C8A" w:rsidRPr="00FE5001">
        <w:rPr>
          <w:rFonts w:ascii="Times New Roman" w:hAnsi="Times New Roman" w:cs="Times New Roman"/>
          <w:i/>
          <w:iCs/>
        </w:rPr>
        <w:t>a su desarrollo avanzando de forma creciente</w:t>
      </w:r>
      <w:r w:rsidR="002F0198" w:rsidRPr="00FE5001">
        <w:rPr>
          <w:rFonts w:ascii="Times New Roman" w:hAnsi="Times New Roman" w:cs="Times New Roman"/>
          <w:i/>
          <w:iCs/>
        </w:rPr>
        <w:t>,</w:t>
      </w:r>
      <w:r w:rsidR="00385C8A" w:rsidRPr="00FE5001">
        <w:rPr>
          <w:rFonts w:ascii="Times New Roman" w:hAnsi="Times New Roman" w:cs="Times New Roman"/>
          <w:i/>
          <w:iCs/>
        </w:rPr>
        <w:t xml:space="preserve"> recuperando paulatinamente la actividad que la </w:t>
      </w:r>
      <w:r w:rsidR="002F0198" w:rsidRPr="00FE5001">
        <w:rPr>
          <w:rFonts w:ascii="Times New Roman" w:hAnsi="Times New Roman" w:cs="Times New Roman"/>
          <w:i/>
          <w:iCs/>
        </w:rPr>
        <w:t xml:space="preserve">pandemia </w:t>
      </w:r>
      <w:r w:rsidR="00385C8A" w:rsidRPr="00FE5001">
        <w:rPr>
          <w:rFonts w:ascii="Times New Roman" w:hAnsi="Times New Roman" w:cs="Times New Roman"/>
          <w:i/>
          <w:iCs/>
        </w:rPr>
        <w:t xml:space="preserve">había afectado. A continuación, exponemos el estado de situación de sus principales actividades y los hechos relevantes: </w:t>
      </w:r>
    </w:p>
    <w:p w14:paraId="1EC68B45" w14:textId="77777777" w:rsidR="008E7002" w:rsidRPr="00FE5001" w:rsidRDefault="008E7002" w:rsidP="008E7002">
      <w:pPr>
        <w:spacing w:after="0" w:line="240" w:lineRule="auto"/>
        <w:jc w:val="both"/>
        <w:rPr>
          <w:rFonts w:ascii="Times New Roman" w:hAnsi="Times New Roman" w:cs="Times New Roman"/>
          <w:i/>
          <w:iCs/>
        </w:rPr>
      </w:pPr>
    </w:p>
    <w:p w14:paraId="6BAD1A5E" w14:textId="31034FF3" w:rsidR="002D2850" w:rsidRPr="00FE5001" w:rsidRDefault="002F019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E</w:t>
      </w:r>
      <w:r w:rsidR="00385C8A" w:rsidRPr="00FE5001">
        <w:rPr>
          <w:rFonts w:ascii="Times New Roman" w:hAnsi="Times New Roman" w:cs="Times New Roman"/>
          <w:i/>
          <w:iCs/>
        </w:rPr>
        <w:t>l sistema integral y centralizado de administración y juzgamiento de infracciones a las normas de tránsito u otras</w:t>
      </w:r>
      <w:r w:rsidR="00BE40DD" w:rsidRPr="00FE5001">
        <w:rPr>
          <w:rFonts w:ascii="Times New Roman" w:hAnsi="Times New Roman" w:cs="Times New Roman"/>
          <w:i/>
          <w:iCs/>
        </w:rPr>
        <w:t xml:space="preserve"> (</w:t>
      </w:r>
      <w:r w:rsidR="00B901C8" w:rsidRPr="00FE5001">
        <w:rPr>
          <w:rFonts w:ascii="Times New Roman" w:hAnsi="Times New Roman" w:cs="Times New Roman"/>
          <w:i/>
          <w:iCs/>
        </w:rPr>
        <w:t>“</w:t>
      </w:r>
      <w:r w:rsidR="00BE40DD" w:rsidRPr="00FE5001">
        <w:rPr>
          <w:rFonts w:ascii="Times New Roman" w:hAnsi="Times New Roman" w:cs="Times New Roman"/>
          <w:i/>
          <w:iCs/>
        </w:rPr>
        <w:t>SIJAI</w:t>
      </w:r>
      <w:r w:rsidR="00B901C8" w:rsidRPr="00FE5001">
        <w:rPr>
          <w:rFonts w:ascii="Times New Roman" w:hAnsi="Times New Roman" w:cs="Times New Roman"/>
          <w:i/>
          <w:iCs/>
        </w:rPr>
        <w:t>”</w:t>
      </w:r>
      <w:r w:rsidR="00BE40DD" w:rsidRPr="00FE5001">
        <w:rPr>
          <w:rFonts w:ascii="Times New Roman" w:hAnsi="Times New Roman" w:cs="Times New Roman"/>
          <w:i/>
          <w:iCs/>
        </w:rPr>
        <w:t>)</w:t>
      </w:r>
      <w:r w:rsidRPr="00FE5001">
        <w:rPr>
          <w:rFonts w:ascii="Times New Roman" w:hAnsi="Times New Roman" w:cs="Times New Roman"/>
          <w:i/>
          <w:iCs/>
        </w:rPr>
        <w:t xml:space="preserve"> está en plena producción</w:t>
      </w:r>
      <w:r w:rsidR="00385C8A" w:rsidRPr="00FE5001">
        <w:rPr>
          <w:rFonts w:ascii="Times New Roman" w:hAnsi="Times New Roman" w:cs="Times New Roman"/>
          <w:i/>
          <w:iCs/>
        </w:rPr>
        <w:t>, incluyendo un módulo que provee la solución de captura de infracciones a través de dispositivos móviles</w:t>
      </w:r>
      <w:r w:rsidR="00BE40DD" w:rsidRPr="00FE5001">
        <w:rPr>
          <w:rFonts w:ascii="Times New Roman" w:hAnsi="Times New Roman" w:cs="Times New Roman"/>
          <w:i/>
          <w:iCs/>
        </w:rPr>
        <w:t xml:space="preserve"> (</w:t>
      </w:r>
      <w:r w:rsidR="00B901C8" w:rsidRPr="00FE5001">
        <w:rPr>
          <w:rFonts w:ascii="Times New Roman" w:hAnsi="Times New Roman" w:cs="Times New Roman"/>
          <w:i/>
          <w:iCs/>
        </w:rPr>
        <w:t>“</w:t>
      </w:r>
      <w:r w:rsidR="00BE40DD" w:rsidRPr="00FE5001">
        <w:rPr>
          <w:rFonts w:ascii="Times New Roman" w:hAnsi="Times New Roman" w:cs="Times New Roman"/>
          <w:i/>
          <w:iCs/>
        </w:rPr>
        <w:t>SICAMTO</w:t>
      </w:r>
      <w:r w:rsidR="00B901C8" w:rsidRPr="00FE5001">
        <w:rPr>
          <w:rFonts w:ascii="Times New Roman" w:hAnsi="Times New Roman" w:cs="Times New Roman"/>
          <w:i/>
          <w:iCs/>
        </w:rPr>
        <w:t>”</w:t>
      </w:r>
      <w:r w:rsidR="00BE40DD" w:rsidRPr="00FE5001">
        <w:rPr>
          <w:rFonts w:ascii="Times New Roman" w:hAnsi="Times New Roman" w:cs="Times New Roman"/>
          <w:i/>
          <w:iCs/>
        </w:rPr>
        <w:t>)</w:t>
      </w:r>
      <w:r w:rsidR="00385C8A" w:rsidRPr="00FE5001">
        <w:rPr>
          <w:rFonts w:ascii="Times New Roman" w:hAnsi="Times New Roman" w:cs="Times New Roman"/>
          <w:i/>
          <w:iCs/>
        </w:rPr>
        <w:t xml:space="preserve"> para la Municipalidad de Escobar</w:t>
      </w:r>
      <w:r w:rsidRPr="00FE5001">
        <w:rPr>
          <w:rFonts w:ascii="Times New Roman" w:hAnsi="Times New Roman" w:cs="Times New Roman"/>
          <w:i/>
          <w:iCs/>
        </w:rPr>
        <w:t xml:space="preserve">, servicio que resulta de la adjudicación obtenida en el marco de la </w:t>
      </w:r>
      <w:r w:rsidR="00385C8A" w:rsidRPr="00FE5001">
        <w:rPr>
          <w:rFonts w:ascii="Times New Roman" w:hAnsi="Times New Roman" w:cs="Times New Roman"/>
          <w:i/>
          <w:iCs/>
        </w:rPr>
        <w:t xml:space="preserve">Licitación Pública </w:t>
      </w:r>
      <w:proofErr w:type="spellStart"/>
      <w:r w:rsidR="00385C8A" w:rsidRPr="00FE5001">
        <w:rPr>
          <w:rFonts w:ascii="Times New Roman" w:hAnsi="Times New Roman" w:cs="Times New Roman"/>
          <w:i/>
          <w:iCs/>
        </w:rPr>
        <w:t>N°</w:t>
      </w:r>
      <w:proofErr w:type="spellEnd"/>
      <w:r w:rsidR="00385C8A" w:rsidRPr="00FE5001">
        <w:rPr>
          <w:rFonts w:ascii="Times New Roman" w:hAnsi="Times New Roman" w:cs="Times New Roman"/>
          <w:i/>
          <w:iCs/>
        </w:rPr>
        <w:t xml:space="preserve"> 05/20. Desde el mes de noviembre 2020 el municipio de Escobar se encuentra procesando sus infracciones de tránsito y otras </w:t>
      </w:r>
      <w:r w:rsidR="002626D8" w:rsidRPr="00FE5001">
        <w:rPr>
          <w:rFonts w:ascii="Times New Roman" w:hAnsi="Times New Roman" w:cs="Times New Roman"/>
          <w:i/>
          <w:iCs/>
        </w:rPr>
        <w:t xml:space="preserve">utilizando </w:t>
      </w:r>
      <w:r w:rsidR="00385C8A" w:rsidRPr="00FE5001">
        <w:rPr>
          <w:rFonts w:ascii="Times New Roman" w:hAnsi="Times New Roman" w:cs="Times New Roman"/>
          <w:i/>
          <w:iCs/>
        </w:rPr>
        <w:t xml:space="preserve">las soluciones de Boldt Vial. </w:t>
      </w:r>
    </w:p>
    <w:p w14:paraId="40C06282" w14:textId="77777777" w:rsidR="008E7002" w:rsidRPr="00FE5001" w:rsidRDefault="008E7002" w:rsidP="008E7002">
      <w:pPr>
        <w:spacing w:after="0" w:line="240" w:lineRule="auto"/>
        <w:jc w:val="both"/>
        <w:rPr>
          <w:rFonts w:ascii="Times New Roman" w:hAnsi="Times New Roman" w:cs="Times New Roman"/>
          <w:i/>
          <w:iCs/>
        </w:rPr>
      </w:pPr>
    </w:p>
    <w:p w14:paraId="47214A7F" w14:textId="3B0BBAE1" w:rsidR="002D2850" w:rsidRPr="00FE5001" w:rsidRDefault="00385C8A"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En cuanto las autopistas concesionadas a </w:t>
      </w:r>
      <w:r w:rsidR="002F0198" w:rsidRPr="00FE5001">
        <w:rPr>
          <w:rFonts w:ascii="Times New Roman" w:hAnsi="Times New Roman" w:cs="Times New Roman"/>
          <w:i/>
          <w:iCs/>
        </w:rPr>
        <w:t>Autopistas de Buenos Aires S.A (“</w:t>
      </w:r>
      <w:r w:rsidRPr="00FE5001">
        <w:rPr>
          <w:rFonts w:ascii="Times New Roman" w:hAnsi="Times New Roman" w:cs="Times New Roman"/>
          <w:i/>
          <w:iCs/>
        </w:rPr>
        <w:t>AUBASA</w:t>
      </w:r>
      <w:r w:rsidR="002F0198" w:rsidRPr="00FE5001">
        <w:rPr>
          <w:rFonts w:ascii="Times New Roman" w:hAnsi="Times New Roman" w:cs="Times New Roman"/>
          <w:i/>
          <w:iCs/>
        </w:rPr>
        <w:t>”)</w:t>
      </w:r>
      <w:r w:rsidRPr="00FE5001">
        <w:rPr>
          <w:rFonts w:ascii="Times New Roman" w:hAnsi="Times New Roman" w:cs="Times New Roman"/>
          <w:i/>
          <w:iCs/>
        </w:rPr>
        <w:t xml:space="preserve"> continuamos brindando el servicio</w:t>
      </w:r>
      <w:r w:rsidR="00FF350D" w:rsidRPr="00FE5001">
        <w:rPr>
          <w:rFonts w:ascii="Times New Roman" w:hAnsi="Times New Roman" w:cs="Times New Roman"/>
          <w:i/>
          <w:iCs/>
        </w:rPr>
        <w:t xml:space="preserve"> de peaje</w:t>
      </w:r>
      <w:r w:rsidRPr="00FE5001">
        <w:rPr>
          <w:rFonts w:ascii="Times New Roman" w:hAnsi="Times New Roman" w:cs="Times New Roman"/>
          <w:i/>
          <w:iCs/>
        </w:rPr>
        <w:t xml:space="preserve"> incluyendo la instalación de nueva funcionalidad al sistema para eficientizar la administración</w:t>
      </w:r>
      <w:r w:rsidR="002F0198" w:rsidRPr="00FE5001">
        <w:rPr>
          <w:rFonts w:ascii="Times New Roman" w:hAnsi="Times New Roman" w:cs="Times New Roman"/>
          <w:i/>
          <w:iCs/>
        </w:rPr>
        <w:t>.</w:t>
      </w:r>
      <w:r w:rsidRPr="00FE5001">
        <w:rPr>
          <w:rFonts w:ascii="Times New Roman" w:hAnsi="Times New Roman" w:cs="Times New Roman"/>
          <w:i/>
          <w:iCs/>
        </w:rPr>
        <w:t xml:space="preserve"> </w:t>
      </w:r>
      <w:r w:rsidR="002F0198" w:rsidRPr="00FE5001">
        <w:rPr>
          <w:rFonts w:ascii="Times New Roman" w:hAnsi="Times New Roman" w:cs="Times New Roman"/>
          <w:i/>
          <w:iCs/>
        </w:rPr>
        <w:t>D</w:t>
      </w:r>
      <w:r w:rsidRPr="00FE5001">
        <w:rPr>
          <w:rFonts w:ascii="Times New Roman" w:hAnsi="Times New Roman" w:cs="Times New Roman"/>
          <w:i/>
          <w:iCs/>
        </w:rPr>
        <w:t xml:space="preserve">esde el mes de abril 2021 se extendió nuestro servicio de mantenimiento proactivo y reactivo por el término de 2 </w:t>
      </w:r>
      <w:r w:rsidR="002626D8" w:rsidRPr="00FE5001">
        <w:rPr>
          <w:rFonts w:ascii="Times New Roman" w:hAnsi="Times New Roman" w:cs="Times New Roman"/>
          <w:i/>
          <w:iCs/>
        </w:rPr>
        <w:t xml:space="preserve">(dos) </w:t>
      </w:r>
      <w:r w:rsidRPr="00FE5001">
        <w:rPr>
          <w:rFonts w:ascii="Times New Roman" w:hAnsi="Times New Roman" w:cs="Times New Roman"/>
          <w:i/>
          <w:iCs/>
        </w:rPr>
        <w:t xml:space="preserve">años. Dicha contratación cubre además el desarrollo de nuevas funcionalidades, potenciando así el sistema de cobro de peajes que ponemos a disposición del mercado nacional y regional. </w:t>
      </w:r>
    </w:p>
    <w:p w14:paraId="2B0D8988" w14:textId="77777777" w:rsidR="008E7002" w:rsidRPr="00FE5001" w:rsidRDefault="008E7002" w:rsidP="008E7002">
      <w:pPr>
        <w:spacing w:after="0" w:line="240" w:lineRule="auto"/>
        <w:jc w:val="both"/>
        <w:rPr>
          <w:rFonts w:ascii="Times New Roman" w:hAnsi="Times New Roman" w:cs="Times New Roman"/>
          <w:i/>
          <w:iCs/>
        </w:rPr>
      </w:pPr>
    </w:p>
    <w:p w14:paraId="32233E75" w14:textId="7E711B72" w:rsidR="00302638" w:rsidRPr="00FE5001" w:rsidRDefault="0030263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En relación con el </w:t>
      </w:r>
      <w:r w:rsidR="002F26B7" w:rsidRPr="00FE5001">
        <w:rPr>
          <w:rFonts w:ascii="Times New Roman" w:hAnsi="Times New Roman" w:cs="Times New Roman"/>
          <w:i/>
          <w:iCs/>
        </w:rPr>
        <w:t>c</w:t>
      </w:r>
      <w:r w:rsidRPr="00FE5001">
        <w:rPr>
          <w:rFonts w:ascii="Times New Roman" w:hAnsi="Times New Roman" w:cs="Times New Roman"/>
          <w:i/>
          <w:iCs/>
        </w:rPr>
        <w:t>ontrato</w:t>
      </w:r>
      <w:r w:rsidR="002F26B7" w:rsidRPr="00FE5001">
        <w:rPr>
          <w:rFonts w:ascii="Times New Roman" w:hAnsi="Times New Roman" w:cs="Times New Roman"/>
          <w:i/>
          <w:iCs/>
        </w:rPr>
        <w:t xml:space="preserve"> suscripto</w:t>
      </w:r>
      <w:r w:rsidRPr="00FE5001">
        <w:rPr>
          <w:rFonts w:ascii="Times New Roman" w:hAnsi="Times New Roman" w:cs="Times New Roman"/>
          <w:i/>
          <w:iCs/>
        </w:rPr>
        <w:t xml:space="preserve"> con la Dirección de Administración de Infracciones de la Ciudad Autónoma de Buenos Aires correspondiente a la Licitación Pública Nro. 763-0611-LPU19, habiendo vencido la última extensión de 6 meses, </w:t>
      </w:r>
      <w:r w:rsidR="00FF350D" w:rsidRPr="00FE5001">
        <w:rPr>
          <w:rFonts w:ascii="Times New Roman" w:hAnsi="Times New Roman" w:cs="Times New Roman"/>
          <w:i/>
          <w:iCs/>
        </w:rPr>
        <w:t>se continuó</w:t>
      </w:r>
      <w:r w:rsidRPr="00FE5001">
        <w:rPr>
          <w:rFonts w:ascii="Times New Roman" w:hAnsi="Times New Roman" w:cs="Times New Roman"/>
          <w:i/>
          <w:iCs/>
        </w:rPr>
        <w:t xml:space="preserve"> operando normalmente</w:t>
      </w:r>
      <w:r w:rsidR="006E3B07" w:rsidRPr="00FE5001">
        <w:rPr>
          <w:rFonts w:ascii="Times New Roman" w:hAnsi="Times New Roman" w:cs="Times New Roman"/>
          <w:i/>
          <w:iCs/>
        </w:rPr>
        <w:t>. E</w:t>
      </w:r>
      <w:r w:rsidRPr="00FE5001">
        <w:rPr>
          <w:rFonts w:ascii="Times New Roman" w:hAnsi="Times New Roman" w:cs="Times New Roman"/>
          <w:i/>
          <w:iCs/>
        </w:rPr>
        <w:t xml:space="preserve">n el mes de marzo 2021, </w:t>
      </w:r>
      <w:r w:rsidR="006E3B07" w:rsidRPr="00FE5001">
        <w:rPr>
          <w:rFonts w:ascii="Times New Roman" w:hAnsi="Times New Roman" w:cs="Times New Roman"/>
          <w:i/>
          <w:iCs/>
        </w:rPr>
        <w:t xml:space="preserve">se adjudicó a </w:t>
      </w:r>
      <w:r w:rsidRPr="00FE5001">
        <w:rPr>
          <w:rFonts w:ascii="Times New Roman" w:hAnsi="Times New Roman" w:cs="Times New Roman"/>
          <w:i/>
          <w:iCs/>
        </w:rPr>
        <w:t xml:space="preserve">BOLDT Vial </w:t>
      </w:r>
      <w:r w:rsidR="006E3B07" w:rsidRPr="00FE5001">
        <w:rPr>
          <w:rFonts w:ascii="Times New Roman" w:hAnsi="Times New Roman" w:cs="Times New Roman"/>
          <w:i/>
          <w:iCs/>
        </w:rPr>
        <w:t xml:space="preserve">el </w:t>
      </w:r>
      <w:r w:rsidRPr="00FE5001">
        <w:rPr>
          <w:rFonts w:ascii="Times New Roman" w:hAnsi="Times New Roman" w:cs="Times New Roman"/>
          <w:i/>
          <w:iCs/>
        </w:rPr>
        <w:t>Servicio de Operación, Mantenimiento y Mejoras del Sistema de Administración de Infracciones para la DGAI - MJYSGC Tránsito</w:t>
      </w:r>
      <w:r w:rsidR="006E3B07" w:rsidRPr="00FE5001">
        <w:rPr>
          <w:rFonts w:ascii="Times New Roman" w:hAnsi="Times New Roman" w:cs="Times New Roman"/>
          <w:i/>
          <w:iCs/>
        </w:rPr>
        <w:t xml:space="preserve"> en el marco de la Licitación Pública Nro. 282-0962-LPU20</w:t>
      </w:r>
      <w:r w:rsidRPr="00FE5001">
        <w:rPr>
          <w:rFonts w:ascii="Times New Roman" w:hAnsi="Times New Roman" w:cs="Times New Roman"/>
          <w:i/>
          <w:iCs/>
        </w:rPr>
        <w:t xml:space="preserve">, siendo la oferta más conveniente </w:t>
      </w:r>
      <w:r w:rsidR="006E3B07" w:rsidRPr="00FE5001">
        <w:rPr>
          <w:rFonts w:ascii="Times New Roman" w:hAnsi="Times New Roman" w:cs="Times New Roman"/>
          <w:i/>
          <w:iCs/>
        </w:rPr>
        <w:t xml:space="preserve">habiendo suscripto el correspondiente contrato que </w:t>
      </w:r>
      <w:r w:rsidR="00FF350D" w:rsidRPr="00FE5001">
        <w:rPr>
          <w:rFonts w:ascii="Times New Roman" w:hAnsi="Times New Roman" w:cs="Times New Roman"/>
          <w:i/>
          <w:iCs/>
        </w:rPr>
        <w:t>da</w:t>
      </w:r>
      <w:r w:rsidRPr="00FE5001">
        <w:rPr>
          <w:rFonts w:ascii="Times New Roman" w:hAnsi="Times New Roman" w:cs="Times New Roman"/>
          <w:i/>
          <w:iCs/>
        </w:rPr>
        <w:t xml:space="preserve"> continuidad del servicio por </w:t>
      </w:r>
      <w:r w:rsidR="00FF350D" w:rsidRPr="00FE5001">
        <w:rPr>
          <w:rFonts w:ascii="Times New Roman" w:hAnsi="Times New Roman" w:cs="Times New Roman"/>
          <w:i/>
          <w:iCs/>
        </w:rPr>
        <w:t xml:space="preserve">el término de </w:t>
      </w:r>
      <w:r w:rsidRPr="00FE5001">
        <w:rPr>
          <w:rFonts w:ascii="Times New Roman" w:hAnsi="Times New Roman" w:cs="Times New Roman"/>
          <w:i/>
          <w:iCs/>
        </w:rPr>
        <w:t>4 años.</w:t>
      </w:r>
    </w:p>
    <w:p w14:paraId="5A40D0D5" w14:textId="77777777" w:rsidR="008E7002" w:rsidRPr="00FE5001" w:rsidRDefault="008E7002" w:rsidP="008E7002">
      <w:pPr>
        <w:spacing w:after="0" w:line="240" w:lineRule="auto"/>
        <w:jc w:val="both"/>
        <w:rPr>
          <w:rFonts w:ascii="Times New Roman" w:hAnsi="Times New Roman" w:cs="Times New Roman"/>
          <w:i/>
          <w:iCs/>
        </w:rPr>
      </w:pPr>
    </w:p>
    <w:p w14:paraId="4C44BD6B" w14:textId="17B5C5FE" w:rsidR="002D2850" w:rsidRPr="00FE5001" w:rsidRDefault="00302638" w:rsidP="00FE5001">
      <w:pPr>
        <w:spacing w:after="0" w:line="240" w:lineRule="auto"/>
        <w:jc w:val="both"/>
        <w:rPr>
          <w:rFonts w:ascii="Times New Roman" w:hAnsi="Times New Roman" w:cs="Times New Roman"/>
          <w:i/>
          <w:iCs/>
        </w:rPr>
      </w:pPr>
      <w:r w:rsidRPr="00FE5001">
        <w:rPr>
          <w:rFonts w:ascii="Times New Roman" w:hAnsi="Times New Roman" w:cs="Times New Roman"/>
          <w:i/>
          <w:iCs/>
        </w:rPr>
        <w:t>D</w:t>
      </w:r>
      <w:r w:rsidR="00385C8A" w:rsidRPr="00FE5001">
        <w:rPr>
          <w:rFonts w:ascii="Times New Roman" w:hAnsi="Times New Roman" w:cs="Times New Roman"/>
          <w:i/>
          <w:iCs/>
        </w:rPr>
        <w:t>urante el mes de agosto</w:t>
      </w:r>
      <w:r w:rsidR="00FF350D" w:rsidRPr="00FE5001">
        <w:rPr>
          <w:rFonts w:ascii="Times New Roman" w:hAnsi="Times New Roman" w:cs="Times New Roman"/>
          <w:i/>
          <w:iCs/>
        </w:rPr>
        <w:t xml:space="preserve"> 2021</w:t>
      </w:r>
      <w:r w:rsidR="00385C8A" w:rsidRPr="00FE5001">
        <w:rPr>
          <w:rFonts w:ascii="Times New Roman" w:hAnsi="Times New Roman" w:cs="Times New Roman"/>
          <w:i/>
          <w:iCs/>
        </w:rPr>
        <w:t xml:space="preserve"> la Municipalidad de Rosario (</w:t>
      </w:r>
      <w:r w:rsidR="00B901C8" w:rsidRPr="00FE5001">
        <w:rPr>
          <w:rFonts w:ascii="Times New Roman" w:hAnsi="Times New Roman" w:cs="Times New Roman"/>
          <w:i/>
          <w:iCs/>
        </w:rPr>
        <w:t>“</w:t>
      </w:r>
      <w:r w:rsidR="00385C8A" w:rsidRPr="00FE5001">
        <w:rPr>
          <w:rFonts w:ascii="Times New Roman" w:hAnsi="Times New Roman" w:cs="Times New Roman"/>
          <w:i/>
          <w:iCs/>
        </w:rPr>
        <w:t>MR</w:t>
      </w:r>
      <w:r w:rsidR="00B901C8" w:rsidRPr="00FE5001">
        <w:rPr>
          <w:rFonts w:ascii="Times New Roman" w:hAnsi="Times New Roman" w:cs="Times New Roman"/>
          <w:i/>
          <w:iCs/>
        </w:rPr>
        <w:t>”</w:t>
      </w:r>
      <w:r w:rsidR="00385C8A" w:rsidRPr="00FE5001">
        <w:rPr>
          <w:rFonts w:ascii="Times New Roman" w:hAnsi="Times New Roman" w:cs="Times New Roman"/>
          <w:i/>
          <w:iCs/>
        </w:rPr>
        <w:t>) llamó a Licitación Pública Nacional e Internacional para la contratación del servicio integral de captación de imágenes para la detección electrónica de infracciones a prestarse con bienes y recursos propios de la Contratista</w:t>
      </w:r>
      <w:r w:rsidR="00454038" w:rsidRPr="00FE5001">
        <w:rPr>
          <w:rFonts w:ascii="Times New Roman" w:hAnsi="Times New Roman" w:cs="Times New Roman"/>
          <w:i/>
          <w:iCs/>
        </w:rPr>
        <w:t xml:space="preserve"> </w:t>
      </w:r>
      <w:r w:rsidR="006E3B07" w:rsidRPr="00FE5001">
        <w:rPr>
          <w:rFonts w:ascii="Times New Roman" w:hAnsi="Times New Roman" w:cs="Times New Roman"/>
          <w:i/>
          <w:iCs/>
        </w:rPr>
        <w:t xml:space="preserve">por el plazo </w:t>
      </w:r>
      <w:r w:rsidR="00385C8A" w:rsidRPr="00FE5001">
        <w:rPr>
          <w:rFonts w:ascii="Times New Roman" w:hAnsi="Times New Roman" w:cs="Times New Roman"/>
          <w:i/>
          <w:iCs/>
        </w:rPr>
        <w:t xml:space="preserve">de 60 meses pudiendo ser prorrogado por 24 </w:t>
      </w:r>
      <w:r w:rsidR="002F26B7" w:rsidRPr="00FE5001">
        <w:rPr>
          <w:rFonts w:ascii="Times New Roman" w:hAnsi="Times New Roman" w:cs="Times New Roman"/>
          <w:i/>
          <w:iCs/>
        </w:rPr>
        <w:t xml:space="preserve">(veinticuatro) </w:t>
      </w:r>
      <w:r w:rsidR="00385C8A" w:rsidRPr="00FE5001">
        <w:rPr>
          <w:rFonts w:ascii="Times New Roman" w:hAnsi="Times New Roman" w:cs="Times New Roman"/>
          <w:i/>
          <w:iCs/>
        </w:rPr>
        <w:t xml:space="preserve">meses </w:t>
      </w:r>
      <w:r w:rsidR="00385C8A" w:rsidRPr="00FE5001">
        <w:rPr>
          <w:rFonts w:ascii="Times New Roman" w:hAnsi="Times New Roman" w:cs="Times New Roman"/>
          <w:i/>
          <w:iCs/>
        </w:rPr>
        <w:lastRenderedPageBreak/>
        <w:t>adicionales. Boldt particip</w:t>
      </w:r>
      <w:r w:rsidR="00CC07A6" w:rsidRPr="00FE5001">
        <w:rPr>
          <w:rFonts w:ascii="Times New Roman" w:hAnsi="Times New Roman" w:cs="Times New Roman"/>
          <w:i/>
          <w:iCs/>
        </w:rPr>
        <w:t>ó</w:t>
      </w:r>
      <w:r w:rsidR="00385C8A" w:rsidRPr="00FE5001">
        <w:rPr>
          <w:rFonts w:ascii="Times New Roman" w:hAnsi="Times New Roman" w:cs="Times New Roman"/>
          <w:i/>
          <w:iCs/>
        </w:rPr>
        <w:t xml:space="preserve"> </w:t>
      </w:r>
      <w:r w:rsidR="006E3B07" w:rsidRPr="00FE5001">
        <w:rPr>
          <w:rFonts w:ascii="Times New Roman" w:hAnsi="Times New Roman" w:cs="Times New Roman"/>
          <w:i/>
          <w:iCs/>
        </w:rPr>
        <w:t xml:space="preserve">de dicha licitación </w:t>
      </w:r>
      <w:r w:rsidR="00385C8A" w:rsidRPr="00FE5001">
        <w:rPr>
          <w:rFonts w:ascii="Times New Roman" w:hAnsi="Times New Roman" w:cs="Times New Roman"/>
          <w:i/>
          <w:iCs/>
        </w:rPr>
        <w:t xml:space="preserve">en formato de UT con el objeto de presentar sus credenciales cumplimentando requisitos para la fecha de apertura </w:t>
      </w:r>
      <w:r w:rsidR="00B2621D" w:rsidRPr="00FE5001">
        <w:rPr>
          <w:rFonts w:ascii="Times New Roman" w:hAnsi="Times New Roman" w:cs="Times New Roman"/>
          <w:i/>
          <w:iCs/>
        </w:rPr>
        <w:t>que luego de varias prórrogas se hizo efectiva el 2 de noviembre pasado</w:t>
      </w:r>
      <w:r w:rsidR="00385C8A" w:rsidRPr="00FE5001">
        <w:rPr>
          <w:rFonts w:ascii="Times New Roman" w:hAnsi="Times New Roman" w:cs="Times New Roman"/>
          <w:i/>
          <w:iCs/>
        </w:rPr>
        <w:t xml:space="preserve">. </w:t>
      </w:r>
      <w:r w:rsidR="00BE40DD" w:rsidRPr="00FE5001">
        <w:rPr>
          <w:rFonts w:ascii="Times New Roman" w:hAnsi="Times New Roman" w:cs="Times New Roman"/>
          <w:i/>
          <w:iCs/>
        </w:rPr>
        <w:t>Al día de la fecha, las ofertas presentadas se encuentran en proceso de evaluación por el comité generado para tal fin.</w:t>
      </w:r>
    </w:p>
    <w:p w14:paraId="0CD99511" w14:textId="77777777" w:rsidR="008E7002" w:rsidRPr="00FE5001" w:rsidRDefault="008E7002" w:rsidP="008E7002">
      <w:pPr>
        <w:spacing w:after="0" w:line="240" w:lineRule="auto"/>
        <w:jc w:val="both"/>
        <w:rPr>
          <w:rFonts w:ascii="Times New Roman" w:hAnsi="Times New Roman" w:cs="Times New Roman"/>
          <w:i/>
          <w:iCs/>
        </w:rPr>
      </w:pPr>
    </w:p>
    <w:p w14:paraId="48BD750E" w14:textId="50D1DA21" w:rsidR="00B2621D" w:rsidRPr="00FE5001" w:rsidRDefault="00CC07A6"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Habiendo concluido en forma exitosa la prestación de servicios a la Agencia Nacional de Seguridad Vial (“ANSV”) para el desarrollo de un sistema de captura y procesamiento de infracciones, en el mes de marzo 2021, </w:t>
      </w:r>
      <w:r w:rsidR="00FF350D" w:rsidRPr="00FE5001">
        <w:rPr>
          <w:rFonts w:ascii="Times New Roman" w:hAnsi="Times New Roman" w:cs="Times New Roman"/>
          <w:i/>
          <w:iCs/>
        </w:rPr>
        <w:t>fuimos</w:t>
      </w:r>
      <w:r w:rsidRPr="00FE5001">
        <w:rPr>
          <w:rFonts w:ascii="Times New Roman" w:hAnsi="Times New Roman" w:cs="Times New Roman"/>
          <w:i/>
          <w:iCs/>
        </w:rPr>
        <w:t xml:space="preserve"> contratados por otros 12 </w:t>
      </w:r>
      <w:r w:rsidR="00A4428D" w:rsidRPr="00FE5001">
        <w:rPr>
          <w:rFonts w:ascii="Times New Roman" w:hAnsi="Times New Roman" w:cs="Times New Roman"/>
          <w:i/>
          <w:iCs/>
        </w:rPr>
        <w:t xml:space="preserve">(doce) </w:t>
      </w:r>
      <w:r w:rsidRPr="00FE5001">
        <w:rPr>
          <w:rFonts w:ascii="Times New Roman" w:hAnsi="Times New Roman" w:cs="Times New Roman"/>
          <w:i/>
          <w:iCs/>
        </w:rPr>
        <w:t>meses para seguir prestando el servicio da</w:t>
      </w:r>
      <w:r w:rsidR="00FF350D" w:rsidRPr="00FE5001">
        <w:rPr>
          <w:rFonts w:ascii="Times New Roman" w:hAnsi="Times New Roman" w:cs="Times New Roman"/>
          <w:i/>
          <w:iCs/>
        </w:rPr>
        <w:t>ndo</w:t>
      </w:r>
      <w:r w:rsidRPr="00FE5001">
        <w:rPr>
          <w:rFonts w:ascii="Times New Roman" w:hAnsi="Times New Roman" w:cs="Times New Roman"/>
          <w:i/>
          <w:iCs/>
        </w:rPr>
        <w:t xml:space="preserve"> continuidad </w:t>
      </w:r>
      <w:r w:rsidR="00A4428D" w:rsidRPr="00FE5001">
        <w:rPr>
          <w:rFonts w:ascii="Times New Roman" w:hAnsi="Times New Roman" w:cs="Times New Roman"/>
          <w:i/>
          <w:iCs/>
        </w:rPr>
        <w:t xml:space="preserve">a </w:t>
      </w:r>
      <w:r w:rsidRPr="00FE5001">
        <w:rPr>
          <w:rFonts w:ascii="Times New Roman" w:hAnsi="Times New Roman" w:cs="Times New Roman"/>
          <w:i/>
          <w:iCs/>
        </w:rPr>
        <w:t xml:space="preserve">este proyecto. </w:t>
      </w:r>
    </w:p>
    <w:p w14:paraId="2B3A874D" w14:textId="77777777" w:rsidR="00FE5001" w:rsidRDefault="00FE5001" w:rsidP="00FE5001">
      <w:pPr>
        <w:spacing w:after="0" w:line="240" w:lineRule="auto"/>
        <w:jc w:val="both"/>
        <w:rPr>
          <w:rFonts w:ascii="Times New Roman" w:hAnsi="Times New Roman" w:cs="Times New Roman"/>
          <w:i/>
          <w:iCs/>
        </w:rPr>
      </w:pPr>
    </w:p>
    <w:p w14:paraId="3311EFFC" w14:textId="13291C97" w:rsidR="00D82CDC" w:rsidRPr="00FE5001" w:rsidRDefault="00D82CDC" w:rsidP="00FE5001">
      <w:pPr>
        <w:spacing w:after="0" w:line="240" w:lineRule="auto"/>
        <w:jc w:val="both"/>
        <w:rPr>
          <w:rFonts w:ascii="Times New Roman" w:hAnsi="Times New Roman" w:cs="Times New Roman"/>
          <w:i/>
          <w:iCs/>
        </w:rPr>
      </w:pPr>
      <w:r w:rsidRPr="00FE5001">
        <w:rPr>
          <w:rFonts w:ascii="Times New Roman" w:hAnsi="Times New Roman" w:cs="Times New Roman"/>
          <w:i/>
          <w:iCs/>
        </w:rPr>
        <w:t>El objetivo</w:t>
      </w:r>
      <w:r w:rsidR="00A4428D" w:rsidRPr="00FE5001">
        <w:rPr>
          <w:rFonts w:ascii="Times New Roman" w:hAnsi="Times New Roman" w:cs="Times New Roman"/>
          <w:i/>
          <w:iCs/>
        </w:rPr>
        <w:t xml:space="preserve"> de Boldt Vial</w:t>
      </w:r>
      <w:r w:rsidRPr="00FE5001">
        <w:rPr>
          <w:rFonts w:ascii="Times New Roman" w:hAnsi="Times New Roman" w:cs="Times New Roman"/>
          <w:i/>
          <w:iCs/>
        </w:rPr>
        <w:t xml:space="preserve"> es </w:t>
      </w:r>
      <w:r w:rsidR="00385C8A" w:rsidRPr="00FE5001">
        <w:rPr>
          <w:rFonts w:ascii="Times New Roman" w:hAnsi="Times New Roman" w:cs="Times New Roman"/>
          <w:i/>
          <w:iCs/>
        </w:rPr>
        <w:t xml:space="preserve">ofrecer una solución integral para la captura, procesamiento, gestión, administración y juzgamiento de infracciones de toda índole, incluso con capacidad de una captura </w:t>
      </w:r>
      <w:r w:rsidRPr="00FE5001">
        <w:rPr>
          <w:rFonts w:ascii="Times New Roman" w:hAnsi="Times New Roman" w:cs="Times New Roman"/>
          <w:i/>
          <w:iCs/>
        </w:rPr>
        <w:t>multimedia</w:t>
      </w:r>
      <w:r w:rsidR="00385C8A" w:rsidRPr="00FE5001">
        <w:rPr>
          <w:rFonts w:ascii="Times New Roman" w:hAnsi="Times New Roman" w:cs="Times New Roman"/>
          <w:i/>
          <w:iCs/>
        </w:rPr>
        <w:t xml:space="preserve">. Esto nos permite plantear una estrategia de cara al futuro, cuyo ámbito de aplicación puede ser municipal, provincial o nacional, </w:t>
      </w:r>
      <w:r w:rsidRPr="00FE5001">
        <w:rPr>
          <w:rFonts w:ascii="Times New Roman" w:hAnsi="Times New Roman" w:cs="Times New Roman"/>
          <w:i/>
          <w:iCs/>
        </w:rPr>
        <w:t xml:space="preserve">e incluso </w:t>
      </w:r>
      <w:r w:rsidR="00385C8A" w:rsidRPr="00FE5001">
        <w:rPr>
          <w:rFonts w:ascii="Times New Roman" w:hAnsi="Times New Roman" w:cs="Times New Roman"/>
          <w:i/>
          <w:iCs/>
        </w:rPr>
        <w:t>con proyección regional</w:t>
      </w:r>
      <w:r w:rsidRPr="00FE5001">
        <w:rPr>
          <w:rFonts w:ascii="Times New Roman" w:hAnsi="Times New Roman" w:cs="Times New Roman"/>
          <w:i/>
          <w:iCs/>
        </w:rPr>
        <w:t xml:space="preserve"> en </w:t>
      </w:r>
      <w:r w:rsidR="00A4428D" w:rsidRPr="00FE5001">
        <w:rPr>
          <w:rFonts w:ascii="Times New Roman" w:hAnsi="Times New Roman" w:cs="Times New Roman"/>
          <w:i/>
          <w:iCs/>
        </w:rPr>
        <w:t xml:space="preserve">otros </w:t>
      </w:r>
      <w:r w:rsidRPr="00FE5001">
        <w:rPr>
          <w:rFonts w:ascii="Times New Roman" w:hAnsi="Times New Roman" w:cs="Times New Roman"/>
          <w:i/>
          <w:iCs/>
        </w:rPr>
        <w:t xml:space="preserve">países como Perú, Bolivia y Paraguay, </w:t>
      </w:r>
      <w:r w:rsidR="00A4428D" w:rsidRPr="00FE5001">
        <w:rPr>
          <w:rFonts w:ascii="Times New Roman" w:hAnsi="Times New Roman" w:cs="Times New Roman"/>
          <w:i/>
          <w:iCs/>
        </w:rPr>
        <w:t xml:space="preserve">ya sea de manera autónoma o </w:t>
      </w:r>
      <w:r w:rsidRPr="00FE5001">
        <w:rPr>
          <w:rFonts w:ascii="Times New Roman" w:hAnsi="Times New Roman" w:cs="Times New Roman"/>
          <w:i/>
          <w:iCs/>
        </w:rPr>
        <w:t>asociados con otros socios tecnológicos.</w:t>
      </w:r>
    </w:p>
    <w:p w14:paraId="115AA56A" w14:textId="77777777" w:rsidR="008E7002" w:rsidRPr="00FE5001" w:rsidRDefault="008E7002" w:rsidP="00FE5001">
      <w:pPr>
        <w:spacing w:after="0" w:line="240" w:lineRule="auto"/>
        <w:jc w:val="both"/>
        <w:rPr>
          <w:rFonts w:ascii="Times New Roman" w:hAnsi="Times New Roman" w:cs="Times New Roman"/>
          <w:i/>
          <w:iCs/>
        </w:rPr>
      </w:pPr>
    </w:p>
    <w:p w14:paraId="63C145E0" w14:textId="2C9928E1" w:rsidR="002D2850" w:rsidRPr="00FE5001" w:rsidRDefault="00D82CDC" w:rsidP="00FE5001">
      <w:pPr>
        <w:spacing w:after="0" w:line="240" w:lineRule="auto"/>
        <w:jc w:val="both"/>
        <w:rPr>
          <w:rFonts w:ascii="Times New Roman" w:hAnsi="Times New Roman" w:cs="Times New Roman"/>
          <w:i/>
          <w:iCs/>
        </w:rPr>
      </w:pPr>
      <w:r w:rsidRPr="00FE5001">
        <w:rPr>
          <w:rFonts w:ascii="Times New Roman" w:hAnsi="Times New Roman" w:cs="Times New Roman"/>
          <w:i/>
          <w:iCs/>
        </w:rPr>
        <w:t>En la misma línea</w:t>
      </w:r>
      <w:r w:rsidR="00314581" w:rsidRPr="00FE5001">
        <w:rPr>
          <w:rFonts w:ascii="Times New Roman" w:hAnsi="Times New Roman" w:cs="Times New Roman"/>
          <w:i/>
          <w:iCs/>
        </w:rPr>
        <w:t xml:space="preserve"> y relacionado al aprendizaje que nos ha dejado la pandemia,</w:t>
      </w:r>
      <w:r w:rsidRPr="00FE5001">
        <w:rPr>
          <w:rFonts w:ascii="Times New Roman" w:hAnsi="Times New Roman" w:cs="Times New Roman"/>
          <w:i/>
          <w:iCs/>
        </w:rPr>
        <w:t xml:space="preserve"> se está ejecutando</w:t>
      </w:r>
      <w:r w:rsidR="00385C8A" w:rsidRPr="00FE5001">
        <w:rPr>
          <w:rFonts w:ascii="Times New Roman" w:hAnsi="Times New Roman" w:cs="Times New Roman"/>
          <w:i/>
          <w:iCs/>
        </w:rPr>
        <w:t xml:space="preserve"> un </w:t>
      </w:r>
      <w:proofErr w:type="gramStart"/>
      <w:r w:rsidR="00385C8A" w:rsidRPr="00FE5001">
        <w:rPr>
          <w:rFonts w:ascii="Times New Roman" w:hAnsi="Times New Roman" w:cs="Times New Roman"/>
          <w:i/>
          <w:iCs/>
        </w:rPr>
        <w:t>master</w:t>
      </w:r>
      <w:proofErr w:type="gramEnd"/>
      <w:r w:rsidR="00385C8A" w:rsidRPr="00FE5001">
        <w:rPr>
          <w:rFonts w:ascii="Times New Roman" w:hAnsi="Times New Roman" w:cs="Times New Roman"/>
          <w:i/>
          <w:iCs/>
        </w:rPr>
        <w:t xml:space="preserve"> plan </w:t>
      </w:r>
      <w:r w:rsidR="00314581" w:rsidRPr="00FE5001">
        <w:rPr>
          <w:rFonts w:ascii="Times New Roman" w:hAnsi="Times New Roman" w:cs="Times New Roman"/>
          <w:i/>
          <w:iCs/>
        </w:rPr>
        <w:t>ori</w:t>
      </w:r>
      <w:r w:rsidR="00ED05A3" w:rsidRPr="00FE5001">
        <w:rPr>
          <w:rFonts w:ascii="Times New Roman" w:hAnsi="Times New Roman" w:cs="Times New Roman"/>
          <w:i/>
          <w:iCs/>
        </w:rPr>
        <w:t>e</w:t>
      </w:r>
      <w:r w:rsidR="00314581" w:rsidRPr="00FE5001">
        <w:rPr>
          <w:rFonts w:ascii="Times New Roman" w:hAnsi="Times New Roman" w:cs="Times New Roman"/>
          <w:i/>
          <w:iCs/>
        </w:rPr>
        <w:t xml:space="preserve">ntado a </w:t>
      </w:r>
      <w:r w:rsidR="00385C8A" w:rsidRPr="00FE5001">
        <w:rPr>
          <w:rFonts w:ascii="Times New Roman" w:hAnsi="Times New Roman" w:cs="Times New Roman"/>
          <w:i/>
          <w:iCs/>
        </w:rPr>
        <w:t>la búsqueda de nuevas aplicaciones tecnológicas desarrollando una plataforma digital que incluye al negocio de seguridad vial para incursionar en proyectos de "</w:t>
      </w:r>
      <w:proofErr w:type="spellStart"/>
      <w:r w:rsidR="00385C8A" w:rsidRPr="00FE5001">
        <w:rPr>
          <w:rFonts w:ascii="Times New Roman" w:hAnsi="Times New Roman" w:cs="Times New Roman"/>
          <w:i/>
          <w:iCs/>
        </w:rPr>
        <w:t>low</w:t>
      </w:r>
      <w:proofErr w:type="spellEnd"/>
      <w:r w:rsidR="00385C8A" w:rsidRPr="00FE5001">
        <w:rPr>
          <w:rFonts w:ascii="Times New Roman" w:hAnsi="Times New Roman" w:cs="Times New Roman"/>
          <w:i/>
          <w:iCs/>
        </w:rPr>
        <w:t xml:space="preserve"> </w:t>
      </w:r>
      <w:proofErr w:type="spellStart"/>
      <w:r w:rsidR="00385C8A" w:rsidRPr="00FE5001">
        <w:rPr>
          <w:rFonts w:ascii="Times New Roman" w:hAnsi="Times New Roman" w:cs="Times New Roman"/>
          <w:i/>
          <w:iCs/>
        </w:rPr>
        <w:t>touch</w:t>
      </w:r>
      <w:proofErr w:type="spellEnd"/>
      <w:r w:rsidR="00385C8A" w:rsidRPr="00FE5001">
        <w:rPr>
          <w:rFonts w:ascii="Times New Roman" w:hAnsi="Times New Roman" w:cs="Times New Roman"/>
          <w:i/>
          <w:iCs/>
        </w:rPr>
        <w:t xml:space="preserve"> </w:t>
      </w:r>
      <w:proofErr w:type="spellStart"/>
      <w:r w:rsidR="00385C8A" w:rsidRPr="00FE5001">
        <w:rPr>
          <w:rFonts w:ascii="Times New Roman" w:hAnsi="Times New Roman" w:cs="Times New Roman"/>
          <w:i/>
          <w:iCs/>
        </w:rPr>
        <w:t>economy</w:t>
      </w:r>
      <w:proofErr w:type="spellEnd"/>
      <w:r w:rsidR="00385C8A" w:rsidRPr="00FE5001">
        <w:rPr>
          <w:rFonts w:ascii="Times New Roman" w:hAnsi="Times New Roman" w:cs="Times New Roman"/>
          <w:i/>
          <w:iCs/>
        </w:rPr>
        <w:t xml:space="preserve">". En ese sentido hemos realizado inversiones en I+D (investigación y desarrollo) para complementar nuestras soluciones con funcionalidades relacionadas a Big Data, Inteligencia Artificial y Analíticas de Video ofreciéndose al mercado </w:t>
      </w:r>
      <w:proofErr w:type="spellStart"/>
      <w:r w:rsidR="00385C8A" w:rsidRPr="00FE5001">
        <w:rPr>
          <w:rFonts w:ascii="Times New Roman" w:hAnsi="Times New Roman" w:cs="Times New Roman"/>
          <w:i/>
          <w:iCs/>
        </w:rPr>
        <w:t>BtoC</w:t>
      </w:r>
      <w:proofErr w:type="spellEnd"/>
      <w:r w:rsidR="00385C8A" w:rsidRPr="00FE5001">
        <w:rPr>
          <w:rFonts w:ascii="Times New Roman" w:hAnsi="Times New Roman" w:cs="Times New Roman"/>
          <w:i/>
          <w:iCs/>
        </w:rPr>
        <w:t xml:space="preserve"> orientado a </w:t>
      </w:r>
      <w:proofErr w:type="spellStart"/>
      <w:r w:rsidR="00385C8A" w:rsidRPr="00FE5001">
        <w:rPr>
          <w:rFonts w:ascii="Times New Roman" w:hAnsi="Times New Roman" w:cs="Times New Roman"/>
          <w:i/>
          <w:iCs/>
        </w:rPr>
        <w:t>retail</w:t>
      </w:r>
      <w:proofErr w:type="spellEnd"/>
      <w:r w:rsidR="00385C8A" w:rsidRPr="00FE5001">
        <w:rPr>
          <w:rFonts w:ascii="Times New Roman" w:hAnsi="Times New Roman" w:cs="Times New Roman"/>
          <w:i/>
          <w:iCs/>
        </w:rPr>
        <w:t xml:space="preserve"> con alta transaccionalidad</w:t>
      </w:r>
      <w:r w:rsidR="00314581" w:rsidRPr="00FE5001">
        <w:rPr>
          <w:rFonts w:ascii="Times New Roman" w:hAnsi="Times New Roman" w:cs="Times New Roman"/>
          <w:i/>
          <w:iCs/>
        </w:rPr>
        <w:t xml:space="preserve"> potenciando la información y habilitando el </w:t>
      </w:r>
      <w:proofErr w:type="spellStart"/>
      <w:r w:rsidR="00314581" w:rsidRPr="00FE5001">
        <w:rPr>
          <w:rFonts w:ascii="Times New Roman" w:hAnsi="Times New Roman" w:cs="Times New Roman"/>
          <w:i/>
          <w:iCs/>
        </w:rPr>
        <w:t>cross</w:t>
      </w:r>
      <w:proofErr w:type="spellEnd"/>
      <w:r w:rsidR="00314581" w:rsidRPr="00FE5001">
        <w:rPr>
          <w:rFonts w:ascii="Times New Roman" w:hAnsi="Times New Roman" w:cs="Times New Roman"/>
          <w:i/>
          <w:iCs/>
        </w:rPr>
        <w:t xml:space="preserve"> </w:t>
      </w:r>
      <w:proofErr w:type="spellStart"/>
      <w:r w:rsidR="00314581" w:rsidRPr="00FE5001">
        <w:rPr>
          <w:rFonts w:ascii="Times New Roman" w:hAnsi="Times New Roman" w:cs="Times New Roman"/>
          <w:i/>
          <w:iCs/>
        </w:rPr>
        <w:t>selling</w:t>
      </w:r>
      <w:proofErr w:type="spellEnd"/>
      <w:r w:rsidR="00314581" w:rsidRPr="00FE5001">
        <w:rPr>
          <w:rFonts w:ascii="Times New Roman" w:hAnsi="Times New Roman" w:cs="Times New Roman"/>
          <w:i/>
          <w:iCs/>
        </w:rPr>
        <w:t xml:space="preserve"> entre diferentes unidades de negocios de Boldt</w:t>
      </w:r>
      <w:r w:rsidR="00385C8A" w:rsidRPr="00FE5001">
        <w:rPr>
          <w:rFonts w:ascii="Times New Roman" w:hAnsi="Times New Roman" w:cs="Times New Roman"/>
          <w:i/>
          <w:iCs/>
        </w:rPr>
        <w:t xml:space="preserve">. </w:t>
      </w:r>
    </w:p>
    <w:p w14:paraId="6F818871" w14:textId="77777777" w:rsidR="00FE5001" w:rsidRDefault="00FE5001" w:rsidP="00FE5001">
      <w:pPr>
        <w:spacing w:after="0" w:line="240" w:lineRule="auto"/>
        <w:jc w:val="both"/>
        <w:rPr>
          <w:rFonts w:ascii="Times New Roman" w:hAnsi="Times New Roman" w:cs="Times New Roman"/>
          <w:i/>
          <w:iCs/>
        </w:rPr>
      </w:pPr>
    </w:p>
    <w:p w14:paraId="5FAEB72E" w14:textId="7F656285" w:rsidR="002D2850" w:rsidRPr="00FE5001" w:rsidRDefault="00314581"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En el </w:t>
      </w:r>
      <w:r w:rsidR="002D2ADC" w:rsidRPr="00FE5001">
        <w:rPr>
          <w:rFonts w:ascii="Times New Roman" w:hAnsi="Times New Roman" w:cs="Times New Roman"/>
          <w:i/>
          <w:iCs/>
        </w:rPr>
        <w:t xml:space="preserve">mes de abril de 2021 </w:t>
      </w:r>
      <w:r w:rsidRPr="00FE5001">
        <w:rPr>
          <w:rFonts w:ascii="Times New Roman" w:hAnsi="Times New Roman" w:cs="Times New Roman"/>
          <w:i/>
          <w:iCs/>
        </w:rPr>
        <w:t>h</w:t>
      </w:r>
      <w:r w:rsidR="00385C8A" w:rsidRPr="00FE5001">
        <w:rPr>
          <w:rFonts w:ascii="Times New Roman" w:hAnsi="Times New Roman" w:cs="Times New Roman"/>
          <w:i/>
          <w:iCs/>
        </w:rPr>
        <w:t xml:space="preserve">emos firmado un acuerdo con Arcos Dorados, Mc </w:t>
      </w:r>
      <w:proofErr w:type="spellStart"/>
      <w:r w:rsidR="00431A24" w:rsidRPr="00FE5001">
        <w:rPr>
          <w:rFonts w:ascii="Times New Roman" w:hAnsi="Times New Roman" w:cs="Times New Roman"/>
          <w:i/>
          <w:iCs/>
        </w:rPr>
        <w:t>Donald’s</w:t>
      </w:r>
      <w:proofErr w:type="spellEnd"/>
      <w:r w:rsidR="00385C8A" w:rsidRPr="00FE5001">
        <w:rPr>
          <w:rFonts w:ascii="Times New Roman" w:hAnsi="Times New Roman" w:cs="Times New Roman"/>
          <w:i/>
          <w:iCs/>
        </w:rPr>
        <w:t xml:space="preserve">, para la provisión de una solución de pago de consumos en sus Auto Mac con la sola patente del automóvil, previa registración de los datos de la patente y su relación con un medio de pago válido. Este convenio es por 5 </w:t>
      </w:r>
      <w:r w:rsidR="00A4428D" w:rsidRPr="00FE5001">
        <w:rPr>
          <w:rFonts w:ascii="Times New Roman" w:hAnsi="Times New Roman" w:cs="Times New Roman"/>
          <w:i/>
          <w:iCs/>
        </w:rPr>
        <w:t xml:space="preserve">(cinco) </w:t>
      </w:r>
      <w:r w:rsidR="00385C8A" w:rsidRPr="00FE5001">
        <w:rPr>
          <w:rFonts w:ascii="Times New Roman" w:hAnsi="Times New Roman" w:cs="Times New Roman"/>
          <w:i/>
          <w:iCs/>
        </w:rPr>
        <w:t xml:space="preserve">años y se estima instalar la solución en más de 60 </w:t>
      </w:r>
      <w:r w:rsidR="00A4428D" w:rsidRPr="00FE5001">
        <w:rPr>
          <w:rFonts w:ascii="Times New Roman" w:hAnsi="Times New Roman" w:cs="Times New Roman"/>
          <w:i/>
          <w:iCs/>
        </w:rPr>
        <w:t xml:space="preserve">(sesenta) </w:t>
      </w:r>
      <w:r w:rsidR="00385C8A" w:rsidRPr="00FE5001">
        <w:rPr>
          <w:rFonts w:ascii="Times New Roman" w:hAnsi="Times New Roman" w:cs="Times New Roman"/>
          <w:i/>
          <w:iCs/>
        </w:rPr>
        <w:t xml:space="preserve">Auto Mac distribuidos en el país. Para llevar adelante este proyecto, hemos firmado un convenio con PRISMA </w:t>
      </w:r>
      <w:r w:rsidR="00077C8E" w:rsidRPr="00FE5001">
        <w:rPr>
          <w:rFonts w:ascii="Times New Roman" w:hAnsi="Times New Roman" w:cs="Times New Roman"/>
          <w:i/>
          <w:iCs/>
        </w:rPr>
        <w:t>M</w:t>
      </w:r>
      <w:r w:rsidR="00385C8A" w:rsidRPr="00FE5001">
        <w:rPr>
          <w:rFonts w:ascii="Times New Roman" w:hAnsi="Times New Roman" w:cs="Times New Roman"/>
          <w:i/>
          <w:iCs/>
        </w:rPr>
        <w:t xml:space="preserve">edios de </w:t>
      </w:r>
      <w:r w:rsidR="00077C8E" w:rsidRPr="00FE5001">
        <w:rPr>
          <w:rFonts w:ascii="Times New Roman" w:hAnsi="Times New Roman" w:cs="Times New Roman"/>
          <w:i/>
          <w:iCs/>
        </w:rPr>
        <w:t>P</w:t>
      </w:r>
      <w:r w:rsidR="00385C8A" w:rsidRPr="00FE5001">
        <w:rPr>
          <w:rFonts w:ascii="Times New Roman" w:hAnsi="Times New Roman" w:cs="Times New Roman"/>
          <w:i/>
          <w:iCs/>
        </w:rPr>
        <w:t>ago</w:t>
      </w:r>
      <w:r w:rsidR="00077C8E" w:rsidRPr="00FE5001">
        <w:rPr>
          <w:rFonts w:ascii="Times New Roman" w:hAnsi="Times New Roman" w:cs="Times New Roman"/>
          <w:i/>
          <w:iCs/>
        </w:rPr>
        <w:t xml:space="preserve"> S.A (“PRISMA”)</w:t>
      </w:r>
      <w:r w:rsidR="00385C8A" w:rsidRPr="00FE5001">
        <w:rPr>
          <w:rFonts w:ascii="Times New Roman" w:hAnsi="Times New Roman" w:cs="Times New Roman"/>
          <w:i/>
          <w:iCs/>
        </w:rPr>
        <w:t>, para la provisión del servicio de adquirente con importantes beneficios. Dentro de este convenio marco, se incluye la posibilidad de que el departamento comercial de PRISMA pueda complementar al equipo comercial de Boldt ofreciendo la solución a sus clientes</w:t>
      </w:r>
      <w:r w:rsidR="009773BA" w:rsidRPr="00FE5001">
        <w:rPr>
          <w:rFonts w:ascii="Times New Roman" w:hAnsi="Times New Roman" w:cs="Times New Roman"/>
          <w:i/>
          <w:iCs/>
        </w:rPr>
        <w:t>.</w:t>
      </w:r>
    </w:p>
    <w:p w14:paraId="0A4D443B" w14:textId="77777777" w:rsidR="00FE5001" w:rsidRDefault="00FE5001" w:rsidP="00FE5001">
      <w:pPr>
        <w:spacing w:after="0" w:line="240" w:lineRule="auto"/>
        <w:jc w:val="both"/>
        <w:rPr>
          <w:rFonts w:ascii="Times New Roman" w:hAnsi="Times New Roman" w:cs="Times New Roman"/>
          <w:i/>
          <w:iCs/>
        </w:rPr>
      </w:pPr>
    </w:p>
    <w:p w14:paraId="70DA8FBE" w14:textId="575C4844" w:rsidR="00F05626" w:rsidRPr="00FE5001" w:rsidRDefault="00314581"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También hemos firmado con la empresa de combustibles </w:t>
      </w:r>
      <w:r w:rsidR="00077C8E" w:rsidRPr="00FE5001">
        <w:rPr>
          <w:rFonts w:ascii="Times New Roman" w:hAnsi="Times New Roman" w:cs="Times New Roman"/>
          <w:i/>
          <w:iCs/>
        </w:rPr>
        <w:t>Refinería de Bahía Blanca S.A.U (“</w:t>
      </w:r>
      <w:r w:rsidRPr="00FE5001">
        <w:rPr>
          <w:rFonts w:ascii="Times New Roman" w:hAnsi="Times New Roman" w:cs="Times New Roman"/>
          <w:i/>
          <w:iCs/>
        </w:rPr>
        <w:t>PUMA</w:t>
      </w:r>
      <w:r w:rsidR="00077C8E" w:rsidRPr="00FE5001">
        <w:rPr>
          <w:rFonts w:ascii="Times New Roman" w:hAnsi="Times New Roman" w:cs="Times New Roman"/>
          <w:i/>
          <w:iCs/>
        </w:rPr>
        <w:t>”)</w:t>
      </w:r>
      <w:r w:rsidRPr="00FE5001">
        <w:rPr>
          <w:rFonts w:ascii="Times New Roman" w:hAnsi="Times New Roman" w:cs="Times New Roman"/>
          <w:i/>
          <w:iCs/>
        </w:rPr>
        <w:t xml:space="preserve"> una carta acuerdo para montar una prueba piloto en la estación de servicio PUMA de Nordelta en la zona norte del Gran de Buenos Aires</w:t>
      </w:r>
      <w:r w:rsidR="00077C8E" w:rsidRPr="00FE5001">
        <w:rPr>
          <w:rFonts w:ascii="Times New Roman" w:hAnsi="Times New Roman" w:cs="Times New Roman"/>
          <w:i/>
          <w:iCs/>
        </w:rPr>
        <w:t xml:space="preserve">. </w:t>
      </w:r>
    </w:p>
    <w:p w14:paraId="2A550685" w14:textId="77777777" w:rsidR="008E7002" w:rsidRPr="00FE5001" w:rsidRDefault="008E7002" w:rsidP="008E7002">
      <w:pPr>
        <w:spacing w:after="0" w:line="240" w:lineRule="auto"/>
        <w:jc w:val="both"/>
        <w:rPr>
          <w:rFonts w:ascii="Times New Roman" w:hAnsi="Times New Roman" w:cs="Times New Roman"/>
          <w:i/>
          <w:iCs/>
        </w:rPr>
      </w:pPr>
    </w:p>
    <w:p w14:paraId="226F4332" w14:textId="46590508" w:rsidR="00314581" w:rsidRPr="00FE5001" w:rsidRDefault="00F05626" w:rsidP="00FE5001">
      <w:pPr>
        <w:spacing w:after="0" w:line="240" w:lineRule="auto"/>
        <w:jc w:val="both"/>
        <w:rPr>
          <w:rFonts w:ascii="Times New Roman" w:hAnsi="Times New Roman" w:cs="Times New Roman"/>
          <w:i/>
          <w:iCs/>
        </w:rPr>
      </w:pPr>
      <w:r w:rsidRPr="00FE5001">
        <w:rPr>
          <w:rFonts w:ascii="Times New Roman" w:hAnsi="Times New Roman" w:cs="Times New Roman"/>
          <w:i/>
          <w:iCs/>
        </w:rPr>
        <w:t>H</w:t>
      </w:r>
      <w:r w:rsidR="00077C8E" w:rsidRPr="00FE5001">
        <w:rPr>
          <w:rFonts w:ascii="Times New Roman" w:hAnsi="Times New Roman" w:cs="Times New Roman"/>
          <w:i/>
          <w:iCs/>
        </w:rPr>
        <w:t>e</w:t>
      </w:r>
      <w:r w:rsidRPr="00FE5001">
        <w:rPr>
          <w:rFonts w:ascii="Times New Roman" w:hAnsi="Times New Roman" w:cs="Times New Roman"/>
          <w:i/>
          <w:iCs/>
        </w:rPr>
        <w:t>m</w:t>
      </w:r>
      <w:r w:rsidR="00077C8E" w:rsidRPr="00FE5001">
        <w:rPr>
          <w:rFonts w:ascii="Times New Roman" w:hAnsi="Times New Roman" w:cs="Times New Roman"/>
          <w:i/>
          <w:iCs/>
        </w:rPr>
        <w:t xml:space="preserve">os </w:t>
      </w:r>
      <w:r w:rsidR="00314581" w:rsidRPr="00FE5001">
        <w:rPr>
          <w:rFonts w:ascii="Times New Roman" w:hAnsi="Times New Roman" w:cs="Times New Roman"/>
          <w:i/>
          <w:iCs/>
        </w:rPr>
        <w:t xml:space="preserve">desarrollado un botón de pago para </w:t>
      </w:r>
      <w:proofErr w:type="spellStart"/>
      <w:r w:rsidR="00314581" w:rsidRPr="00FE5001">
        <w:rPr>
          <w:rFonts w:ascii="Times New Roman" w:hAnsi="Times New Roman" w:cs="Times New Roman"/>
          <w:i/>
          <w:iCs/>
        </w:rPr>
        <w:t>Interfy</w:t>
      </w:r>
      <w:proofErr w:type="spellEnd"/>
      <w:r w:rsidR="00314581" w:rsidRPr="00FE5001">
        <w:rPr>
          <w:rFonts w:ascii="Times New Roman" w:hAnsi="Times New Roman" w:cs="Times New Roman"/>
          <w:i/>
          <w:iCs/>
        </w:rPr>
        <w:t xml:space="preserve"> </w:t>
      </w:r>
      <w:r w:rsidRPr="00FE5001">
        <w:rPr>
          <w:rFonts w:ascii="Times New Roman" w:hAnsi="Times New Roman" w:cs="Times New Roman"/>
          <w:i/>
          <w:iCs/>
        </w:rPr>
        <w:t>(</w:t>
      </w:r>
      <w:r w:rsidR="00314581" w:rsidRPr="00FE5001">
        <w:rPr>
          <w:rFonts w:ascii="Times New Roman" w:hAnsi="Times New Roman" w:cs="Times New Roman"/>
          <w:i/>
          <w:iCs/>
        </w:rPr>
        <w:t>marca de fibra óptica de la empresa Servicios Para el Transporte de Información S.A.U.</w:t>
      </w:r>
      <w:r w:rsidRPr="00FE5001">
        <w:rPr>
          <w:rFonts w:ascii="Times New Roman" w:hAnsi="Times New Roman" w:cs="Times New Roman"/>
          <w:i/>
          <w:iCs/>
        </w:rPr>
        <w:t>)</w:t>
      </w:r>
      <w:r w:rsidR="00314581" w:rsidRPr="00FE5001">
        <w:rPr>
          <w:rFonts w:ascii="Times New Roman" w:hAnsi="Times New Roman" w:cs="Times New Roman"/>
          <w:i/>
          <w:iCs/>
        </w:rPr>
        <w:t xml:space="preserve">, </w:t>
      </w:r>
      <w:r w:rsidRPr="00FE5001">
        <w:rPr>
          <w:rFonts w:ascii="Times New Roman" w:hAnsi="Times New Roman" w:cs="Times New Roman"/>
          <w:i/>
          <w:iCs/>
        </w:rPr>
        <w:t xml:space="preserve">el que se prevé implementar también </w:t>
      </w:r>
      <w:r w:rsidR="00314581" w:rsidRPr="00FE5001">
        <w:rPr>
          <w:rFonts w:ascii="Times New Roman" w:hAnsi="Times New Roman" w:cs="Times New Roman"/>
          <w:i/>
          <w:iCs/>
        </w:rPr>
        <w:t>en las distintas unidades de negocio de</w:t>
      </w:r>
      <w:r w:rsidR="00DB5B3D" w:rsidRPr="00FE5001">
        <w:rPr>
          <w:rFonts w:ascii="Times New Roman" w:hAnsi="Times New Roman" w:cs="Times New Roman"/>
          <w:i/>
          <w:iCs/>
        </w:rPr>
        <w:t xml:space="preserve"> las sociedades de</w:t>
      </w:r>
      <w:r w:rsidR="00314581" w:rsidRPr="00FE5001">
        <w:rPr>
          <w:rFonts w:ascii="Times New Roman" w:hAnsi="Times New Roman" w:cs="Times New Roman"/>
          <w:i/>
          <w:iCs/>
        </w:rPr>
        <w:t xml:space="preserve">l </w:t>
      </w:r>
      <w:r w:rsidR="00DB5B3D" w:rsidRPr="00FE5001">
        <w:rPr>
          <w:rFonts w:ascii="Times New Roman" w:hAnsi="Times New Roman" w:cs="Times New Roman"/>
          <w:i/>
          <w:iCs/>
        </w:rPr>
        <w:t>g</w:t>
      </w:r>
      <w:r w:rsidR="00314581" w:rsidRPr="00FE5001">
        <w:rPr>
          <w:rFonts w:ascii="Times New Roman" w:hAnsi="Times New Roman" w:cs="Times New Roman"/>
          <w:i/>
          <w:iCs/>
        </w:rPr>
        <w:t>rupo Boldt que necesitan este tipo de funcionalidad, lo que brindará una mayor eficiencia y autonomía en el desarrollo</w:t>
      </w:r>
      <w:r w:rsidRPr="00FE5001">
        <w:rPr>
          <w:rFonts w:ascii="Times New Roman" w:hAnsi="Times New Roman" w:cs="Times New Roman"/>
          <w:i/>
          <w:iCs/>
        </w:rPr>
        <w:t>.</w:t>
      </w:r>
    </w:p>
    <w:p w14:paraId="6E6265D8" w14:textId="77777777" w:rsidR="008E7002" w:rsidRPr="00FE5001" w:rsidRDefault="008E7002" w:rsidP="00FE5001">
      <w:pPr>
        <w:spacing w:after="0" w:line="240" w:lineRule="auto"/>
        <w:jc w:val="both"/>
        <w:rPr>
          <w:rFonts w:ascii="Times New Roman" w:hAnsi="Times New Roman" w:cs="Times New Roman"/>
          <w:i/>
          <w:iCs/>
        </w:rPr>
      </w:pPr>
    </w:p>
    <w:p w14:paraId="09C9F9DC" w14:textId="5780A202" w:rsidR="002D2850" w:rsidRPr="00FE5001" w:rsidRDefault="00385C8A" w:rsidP="00FE5001">
      <w:pPr>
        <w:spacing w:after="0" w:line="240" w:lineRule="auto"/>
        <w:jc w:val="both"/>
        <w:rPr>
          <w:rFonts w:ascii="Times New Roman" w:hAnsi="Times New Roman" w:cs="Times New Roman"/>
          <w:i/>
          <w:iCs/>
        </w:rPr>
      </w:pPr>
      <w:r w:rsidRPr="00FE5001">
        <w:rPr>
          <w:rFonts w:ascii="Times New Roman" w:hAnsi="Times New Roman" w:cs="Times New Roman"/>
          <w:i/>
          <w:iCs/>
        </w:rPr>
        <w:t>Con motivo de</w:t>
      </w:r>
      <w:r w:rsidR="00314581" w:rsidRPr="00FE5001">
        <w:rPr>
          <w:rFonts w:ascii="Times New Roman" w:hAnsi="Times New Roman" w:cs="Times New Roman"/>
          <w:i/>
          <w:iCs/>
        </w:rPr>
        <w:t xml:space="preserve"> los nuevos negocios encarados por la </w:t>
      </w:r>
      <w:r w:rsidR="00077C8E" w:rsidRPr="00FE5001">
        <w:rPr>
          <w:rFonts w:ascii="Times New Roman" w:hAnsi="Times New Roman" w:cs="Times New Roman"/>
          <w:i/>
          <w:iCs/>
        </w:rPr>
        <w:t>C</w:t>
      </w:r>
      <w:r w:rsidR="006F504A" w:rsidRPr="00FE5001">
        <w:rPr>
          <w:rFonts w:ascii="Times New Roman" w:hAnsi="Times New Roman" w:cs="Times New Roman"/>
          <w:i/>
          <w:iCs/>
        </w:rPr>
        <w:t>ompañía se</w:t>
      </w:r>
      <w:r w:rsidR="00314581" w:rsidRPr="00FE5001">
        <w:rPr>
          <w:rFonts w:ascii="Times New Roman" w:hAnsi="Times New Roman" w:cs="Times New Roman"/>
          <w:i/>
          <w:iCs/>
        </w:rPr>
        <w:t xml:space="preserve"> </w:t>
      </w:r>
      <w:r w:rsidRPr="00FE5001">
        <w:rPr>
          <w:rFonts w:ascii="Times New Roman" w:hAnsi="Times New Roman" w:cs="Times New Roman"/>
          <w:i/>
          <w:iCs/>
        </w:rPr>
        <w:t>ha</w:t>
      </w:r>
      <w:r w:rsidR="00314581" w:rsidRPr="00FE5001">
        <w:rPr>
          <w:rFonts w:ascii="Times New Roman" w:hAnsi="Times New Roman" w:cs="Times New Roman"/>
          <w:i/>
          <w:iCs/>
        </w:rPr>
        <w:t xml:space="preserve"> lanzado </w:t>
      </w:r>
      <w:r w:rsidR="00077C8E" w:rsidRPr="00FE5001">
        <w:rPr>
          <w:rFonts w:ascii="Times New Roman" w:hAnsi="Times New Roman" w:cs="Times New Roman"/>
          <w:i/>
          <w:iCs/>
        </w:rPr>
        <w:t xml:space="preserve">la marca </w:t>
      </w:r>
      <w:r w:rsidR="00314581" w:rsidRPr="00FE5001">
        <w:rPr>
          <w:rFonts w:ascii="Times New Roman" w:hAnsi="Times New Roman" w:cs="Times New Roman"/>
          <w:i/>
          <w:iCs/>
        </w:rPr>
        <w:t>WEIGO cuya</w:t>
      </w:r>
      <w:r w:rsidRPr="00FE5001">
        <w:rPr>
          <w:rFonts w:ascii="Times New Roman" w:hAnsi="Times New Roman" w:cs="Times New Roman"/>
          <w:i/>
          <w:iCs/>
        </w:rPr>
        <w:t xml:space="preserve"> estrategia </w:t>
      </w:r>
      <w:r w:rsidR="00077C8E" w:rsidRPr="00FE5001">
        <w:rPr>
          <w:rFonts w:ascii="Times New Roman" w:hAnsi="Times New Roman" w:cs="Times New Roman"/>
          <w:i/>
          <w:iCs/>
        </w:rPr>
        <w:t xml:space="preserve">desde su </w:t>
      </w:r>
      <w:r w:rsidRPr="00FE5001">
        <w:rPr>
          <w:rFonts w:ascii="Times New Roman" w:hAnsi="Times New Roman" w:cs="Times New Roman"/>
          <w:i/>
          <w:iCs/>
        </w:rPr>
        <w:t xml:space="preserve">lanzamiento </w:t>
      </w:r>
      <w:r w:rsidR="00077C8E" w:rsidRPr="00FE5001">
        <w:rPr>
          <w:rFonts w:ascii="Times New Roman" w:hAnsi="Times New Roman" w:cs="Times New Roman"/>
          <w:i/>
          <w:iCs/>
        </w:rPr>
        <w:t xml:space="preserve">ha sido </w:t>
      </w:r>
      <w:r w:rsidRPr="00FE5001">
        <w:rPr>
          <w:rFonts w:ascii="Times New Roman" w:hAnsi="Times New Roman" w:cs="Times New Roman"/>
          <w:i/>
          <w:iCs/>
        </w:rPr>
        <w:t>llevar adelante todas las iniciativas digitales de</w:t>
      </w:r>
      <w:r w:rsidR="00DB5B3D" w:rsidRPr="00FE5001">
        <w:rPr>
          <w:rFonts w:ascii="Times New Roman" w:hAnsi="Times New Roman" w:cs="Times New Roman"/>
          <w:i/>
          <w:iCs/>
        </w:rPr>
        <w:t xml:space="preserve"> </w:t>
      </w:r>
      <w:r w:rsidRPr="00FE5001">
        <w:rPr>
          <w:rFonts w:ascii="Times New Roman" w:hAnsi="Times New Roman" w:cs="Times New Roman"/>
          <w:i/>
          <w:iCs/>
        </w:rPr>
        <w:t>l</w:t>
      </w:r>
      <w:r w:rsidR="00DB5B3D" w:rsidRPr="00FE5001">
        <w:rPr>
          <w:rFonts w:ascii="Times New Roman" w:hAnsi="Times New Roman" w:cs="Times New Roman"/>
          <w:i/>
          <w:iCs/>
        </w:rPr>
        <w:t>as sociedades del</w:t>
      </w:r>
      <w:r w:rsidRPr="00FE5001">
        <w:rPr>
          <w:rFonts w:ascii="Times New Roman" w:hAnsi="Times New Roman" w:cs="Times New Roman"/>
          <w:i/>
          <w:iCs/>
        </w:rPr>
        <w:t xml:space="preserve"> </w:t>
      </w:r>
      <w:r w:rsidR="00DB5B3D" w:rsidRPr="00FE5001">
        <w:rPr>
          <w:rFonts w:ascii="Times New Roman" w:hAnsi="Times New Roman" w:cs="Times New Roman"/>
          <w:i/>
          <w:iCs/>
        </w:rPr>
        <w:t>g</w:t>
      </w:r>
      <w:r w:rsidRPr="00FE5001">
        <w:rPr>
          <w:rFonts w:ascii="Times New Roman" w:hAnsi="Times New Roman" w:cs="Times New Roman"/>
          <w:i/>
          <w:iCs/>
        </w:rPr>
        <w:t>rupo Boldt bajo esta marca. En</w:t>
      </w:r>
      <w:r w:rsidR="00314581" w:rsidRPr="00FE5001">
        <w:rPr>
          <w:rFonts w:ascii="Times New Roman" w:hAnsi="Times New Roman" w:cs="Times New Roman"/>
          <w:i/>
          <w:iCs/>
        </w:rPr>
        <w:t xml:space="preserve"> la misma</w:t>
      </w:r>
      <w:r w:rsidRPr="00FE5001">
        <w:rPr>
          <w:rFonts w:ascii="Times New Roman" w:hAnsi="Times New Roman" w:cs="Times New Roman"/>
          <w:i/>
          <w:iCs/>
        </w:rPr>
        <w:t xml:space="preserve"> línea </w:t>
      </w:r>
      <w:r w:rsidR="00F05626" w:rsidRPr="00FE5001">
        <w:rPr>
          <w:rFonts w:ascii="Times New Roman" w:hAnsi="Times New Roman" w:cs="Times New Roman"/>
          <w:i/>
          <w:iCs/>
        </w:rPr>
        <w:t>estamos trabajando en</w:t>
      </w:r>
      <w:r w:rsidRPr="00FE5001">
        <w:rPr>
          <w:rFonts w:ascii="Times New Roman" w:hAnsi="Times New Roman" w:cs="Times New Roman"/>
          <w:i/>
          <w:iCs/>
        </w:rPr>
        <w:t xml:space="preserve"> </w:t>
      </w:r>
      <w:r w:rsidR="00F05626" w:rsidRPr="00FE5001">
        <w:rPr>
          <w:rFonts w:ascii="Times New Roman" w:hAnsi="Times New Roman" w:cs="Times New Roman"/>
          <w:i/>
          <w:iCs/>
        </w:rPr>
        <w:t xml:space="preserve">desarrollar e implementar </w:t>
      </w:r>
      <w:r w:rsidRPr="00FE5001">
        <w:rPr>
          <w:rFonts w:ascii="Times New Roman" w:hAnsi="Times New Roman" w:cs="Times New Roman"/>
          <w:i/>
          <w:iCs/>
        </w:rPr>
        <w:t xml:space="preserve">un </w:t>
      </w:r>
      <w:proofErr w:type="spellStart"/>
      <w:r w:rsidR="008E7002" w:rsidRPr="00FE5001">
        <w:rPr>
          <w:rFonts w:ascii="Times New Roman" w:hAnsi="Times New Roman" w:cs="Times New Roman"/>
          <w:i/>
          <w:iCs/>
        </w:rPr>
        <w:t>gateway</w:t>
      </w:r>
      <w:proofErr w:type="spellEnd"/>
      <w:r w:rsidRPr="00FE5001">
        <w:rPr>
          <w:rFonts w:ascii="Times New Roman" w:hAnsi="Times New Roman" w:cs="Times New Roman"/>
          <w:i/>
          <w:iCs/>
        </w:rPr>
        <w:t xml:space="preserve"> de pagos propio.</w:t>
      </w:r>
    </w:p>
    <w:p w14:paraId="3DD61721" w14:textId="77777777" w:rsidR="008E7002" w:rsidRPr="00FE5001" w:rsidRDefault="008E7002" w:rsidP="008E7002">
      <w:pPr>
        <w:spacing w:after="0" w:line="240" w:lineRule="auto"/>
        <w:jc w:val="both"/>
        <w:rPr>
          <w:rFonts w:ascii="Times New Roman" w:hAnsi="Times New Roman" w:cs="Times New Roman"/>
          <w:i/>
          <w:iCs/>
        </w:rPr>
      </w:pPr>
    </w:p>
    <w:p w14:paraId="1CC51840" w14:textId="0E09B7D8" w:rsidR="00310A6B" w:rsidRPr="00FE5001" w:rsidRDefault="002F26B7"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Con motivo de los nuevos negocios encarados por la Compañía se ha lanzado la </w:t>
      </w:r>
      <w:r w:rsidR="00385C8A" w:rsidRPr="00FE5001">
        <w:rPr>
          <w:rFonts w:ascii="Times New Roman" w:hAnsi="Times New Roman" w:cs="Times New Roman"/>
          <w:i/>
          <w:iCs/>
        </w:rPr>
        <w:t xml:space="preserve">marca WEIGO, se ha definido un </w:t>
      </w:r>
      <w:proofErr w:type="spellStart"/>
      <w:r w:rsidR="00385C8A" w:rsidRPr="00FE5001">
        <w:rPr>
          <w:rFonts w:ascii="Times New Roman" w:hAnsi="Times New Roman" w:cs="Times New Roman"/>
          <w:i/>
          <w:iCs/>
        </w:rPr>
        <w:t>footprint</w:t>
      </w:r>
      <w:proofErr w:type="spellEnd"/>
      <w:r w:rsidR="00385C8A" w:rsidRPr="00FE5001">
        <w:rPr>
          <w:rFonts w:ascii="Times New Roman" w:hAnsi="Times New Roman" w:cs="Times New Roman"/>
          <w:i/>
          <w:iCs/>
        </w:rPr>
        <w:t xml:space="preserve"> de desarrollo de soluciones varias que incluyen desde, oferta de servicios varios, </w:t>
      </w:r>
      <w:r w:rsidR="00246CF6">
        <w:rPr>
          <w:rFonts w:ascii="Times New Roman" w:hAnsi="Times New Roman" w:cs="Times New Roman"/>
          <w:i/>
          <w:iCs/>
        </w:rPr>
        <w:t xml:space="preserve">servicios </w:t>
      </w:r>
      <w:r w:rsidR="00385C8A" w:rsidRPr="00FE5001">
        <w:rPr>
          <w:rFonts w:ascii="Times New Roman" w:hAnsi="Times New Roman" w:cs="Times New Roman"/>
          <w:i/>
          <w:iCs/>
        </w:rPr>
        <w:t xml:space="preserve">de marketing y desarrollo de un Big Data para ser usado por </w:t>
      </w:r>
      <w:r w:rsidR="00077C8E" w:rsidRPr="00FE5001">
        <w:rPr>
          <w:rFonts w:ascii="Times New Roman" w:hAnsi="Times New Roman" w:cs="Times New Roman"/>
          <w:i/>
          <w:iCs/>
        </w:rPr>
        <w:t xml:space="preserve">las sociedades que integran </w:t>
      </w:r>
      <w:r w:rsidR="00385C8A" w:rsidRPr="00FE5001">
        <w:rPr>
          <w:rFonts w:ascii="Times New Roman" w:hAnsi="Times New Roman" w:cs="Times New Roman"/>
          <w:i/>
          <w:iCs/>
        </w:rPr>
        <w:t xml:space="preserve">el </w:t>
      </w:r>
      <w:r w:rsidR="00077C8E" w:rsidRPr="00FE5001">
        <w:rPr>
          <w:rFonts w:ascii="Times New Roman" w:hAnsi="Times New Roman" w:cs="Times New Roman"/>
          <w:i/>
          <w:iCs/>
        </w:rPr>
        <w:t>g</w:t>
      </w:r>
      <w:r w:rsidR="00385C8A" w:rsidRPr="00FE5001">
        <w:rPr>
          <w:rFonts w:ascii="Times New Roman" w:hAnsi="Times New Roman" w:cs="Times New Roman"/>
          <w:i/>
          <w:iCs/>
        </w:rPr>
        <w:t xml:space="preserve">rupo en </w:t>
      </w:r>
      <w:r w:rsidR="00246CF6">
        <w:rPr>
          <w:rFonts w:ascii="Times New Roman" w:hAnsi="Times New Roman" w:cs="Times New Roman"/>
          <w:i/>
          <w:iCs/>
        </w:rPr>
        <w:t>sus diferentes</w:t>
      </w:r>
      <w:r w:rsidR="00385C8A" w:rsidRPr="00FE5001">
        <w:rPr>
          <w:rFonts w:ascii="Times New Roman" w:hAnsi="Times New Roman" w:cs="Times New Roman"/>
          <w:i/>
          <w:iCs/>
        </w:rPr>
        <w:t xml:space="preserve"> sus actividades. Boldt, con esta iniciativa, se </w:t>
      </w:r>
      <w:r w:rsidR="00385C8A" w:rsidRPr="00FE5001">
        <w:rPr>
          <w:rFonts w:ascii="Times New Roman" w:hAnsi="Times New Roman" w:cs="Times New Roman"/>
          <w:i/>
          <w:iCs/>
        </w:rPr>
        <w:lastRenderedPageBreak/>
        <w:t>lanza al mundo digital, poniendo toda su fortaleza y conocimiento para poder potenciar sus unidades de negocio en un área que es imprescindible en la estrategia a corto y mediano plazo.</w:t>
      </w:r>
    </w:p>
    <w:p w14:paraId="12550683" w14:textId="77777777" w:rsidR="007847B0" w:rsidRPr="00FE5001" w:rsidRDefault="007847B0" w:rsidP="008E7002">
      <w:pPr>
        <w:spacing w:after="0" w:line="240" w:lineRule="auto"/>
        <w:jc w:val="both"/>
        <w:rPr>
          <w:rFonts w:ascii="Times New Roman" w:eastAsia="Times New Roman" w:hAnsi="Times New Roman" w:cs="Times New Roman"/>
          <w:b/>
          <w:i/>
          <w:lang w:val="es-ES" w:eastAsia="es-ES"/>
        </w:rPr>
      </w:pPr>
    </w:p>
    <w:p w14:paraId="46E8497A" w14:textId="25DE90D8" w:rsidR="00617D65" w:rsidRPr="00FE5001" w:rsidRDefault="00617D65"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Desde los Nuevos Negocios en Entretenimientos</w:t>
      </w:r>
      <w:r w:rsidR="009C5AB3" w:rsidRPr="00FE5001">
        <w:rPr>
          <w:rFonts w:ascii="Times New Roman" w:eastAsia="Times New Roman" w:hAnsi="Times New Roman" w:cs="Times New Roman"/>
          <w:b/>
          <w:i/>
          <w:lang w:val="es-ES" w:eastAsia="es-ES"/>
        </w:rPr>
        <w:t xml:space="preserve"> modalidad </w:t>
      </w:r>
      <w:r w:rsidR="00937623" w:rsidRPr="00FE5001">
        <w:rPr>
          <w:rFonts w:ascii="Times New Roman" w:eastAsia="Times New Roman" w:hAnsi="Times New Roman" w:cs="Times New Roman"/>
          <w:b/>
          <w:i/>
          <w:lang w:val="es-ES" w:eastAsia="es-ES"/>
        </w:rPr>
        <w:t>online</w:t>
      </w:r>
      <w:r w:rsidRPr="00FE5001">
        <w:rPr>
          <w:rFonts w:ascii="Times New Roman" w:eastAsia="Times New Roman" w:hAnsi="Times New Roman" w:cs="Times New Roman"/>
          <w:b/>
          <w:i/>
          <w:lang w:val="es-ES" w:eastAsia="es-ES"/>
        </w:rPr>
        <w:t>:</w:t>
      </w:r>
    </w:p>
    <w:p w14:paraId="1DCABB05" w14:textId="77777777" w:rsidR="007847B0" w:rsidRPr="00FE5001" w:rsidRDefault="007847B0" w:rsidP="00FE5001">
      <w:pPr>
        <w:spacing w:after="0" w:line="240" w:lineRule="auto"/>
        <w:jc w:val="both"/>
        <w:rPr>
          <w:rFonts w:ascii="Times New Roman" w:eastAsia="Times New Roman" w:hAnsi="Times New Roman" w:cs="Times New Roman"/>
          <w:bCs/>
          <w:i/>
          <w:lang w:val="es-ES" w:eastAsia="es-ES"/>
        </w:rPr>
      </w:pPr>
    </w:p>
    <w:p w14:paraId="2D11E1DA" w14:textId="4F4C27B3" w:rsidR="0026783E" w:rsidRPr="00FE5001" w:rsidRDefault="0061643F"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r>
      <w:r w:rsidR="0026783E" w:rsidRPr="00FE5001">
        <w:rPr>
          <w:rFonts w:ascii="Times New Roman" w:eastAsia="Times New Roman" w:hAnsi="Times New Roman" w:cs="Times New Roman"/>
          <w:bCs/>
          <w:i/>
          <w:lang w:val="es-ES" w:eastAsia="es-ES"/>
        </w:rPr>
        <w:t xml:space="preserve">Boldt ha desarrollado una marca propia de juego online </w:t>
      </w:r>
      <w:r w:rsidR="00937623" w:rsidRPr="00FE5001">
        <w:rPr>
          <w:rFonts w:ascii="Times New Roman" w:eastAsia="Times New Roman" w:hAnsi="Times New Roman" w:cs="Times New Roman"/>
          <w:bCs/>
          <w:i/>
          <w:lang w:val="es-ES" w:eastAsia="es-ES"/>
        </w:rPr>
        <w:t>denominada</w:t>
      </w:r>
      <w:r w:rsidR="0026783E" w:rsidRPr="00FE5001">
        <w:rPr>
          <w:rFonts w:ascii="Times New Roman" w:eastAsia="Times New Roman" w:hAnsi="Times New Roman" w:cs="Times New Roman"/>
          <w:bCs/>
          <w:i/>
          <w:lang w:val="es-ES" w:eastAsia="es-ES"/>
        </w:rPr>
        <w:t xml:space="preserve"> </w:t>
      </w:r>
      <w:r w:rsidR="00937623" w:rsidRPr="00FE5001">
        <w:rPr>
          <w:rFonts w:ascii="Times New Roman" w:eastAsia="Times New Roman" w:hAnsi="Times New Roman" w:cs="Times New Roman"/>
          <w:bCs/>
          <w:i/>
          <w:lang w:val="es-ES" w:eastAsia="es-ES"/>
        </w:rPr>
        <w:t>“</w:t>
      </w:r>
      <w:proofErr w:type="spellStart"/>
      <w:r w:rsidR="0026783E" w:rsidRPr="00FE5001">
        <w:rPr>
          <w:rFonts w:ascii="Times New Roman" w:eastAsia="Times New Roman" w:hAnsi="Times New Roman" w:cs="Times New Roman"/>
          <w:bCs/>
          <w:i/>
          <w:lang w:val="es-ES" w:eastAsia="es-ES"/>
        </w:rPr>
        <w:t>bplay</w:t>
      </w:r>
      <w:proofErr w:type="spellEnd"/>
      <w:r w:rsidR="00937623" w:rsidRPr="00FE5001">
        <w:rPr>
          <w:rFonts w:ascii="Times New Roman" w:eastAsia="Times New Roman" w:hAnsi="Times New Roman" w:cs="Times New Roman"/>
          <w:bCs/>
          <w:i/>
          <w:lang w:val="es-ES" w:eastAsia="es-ES"/>
        </w:rPr>
        <w:t>”</w:t>
      </w:r>
      <w:r w:rsidR="0026783E" w:rsidRPr="00FE5001">
        <w:rPr>
          <w:rFonts w:ascii="Times New Roman" w:eastAsia="Times New Roman" w:hAnsi="Times New Roman" w:cs="Times New Roman"/>
          <w:bCs/>
          <w:i/>
          <w:lang w:val="es-ES" w:eastAsia="es-ES"/>
        </w:rPr>
        <w:t xml:space="preserve"> y </w:t>
      </w:r>
      <w:r w:rsidR="00937623" w:rsidRPr="00FE5001">
        <w:rPr>
          <w:rFonts w:ascii="Times New Roman" w:eastAsia="Times New Roman" w:hAnsi="Times New Roman" w:cs="Times New Roman"/>
          <w:bCs/>
          <w:i/>
          <w:lang w:val="es-ES" w:eastAsia="es-ES"/>
        </w:rPr>
        <w:t xml:space="preserve">ha firmado un acuerdo </w:t>
      </w:r>
      <w:r w:rsidR="0026783E" w:rsidRPr="00FE5001">
        <w:rPr>
          <w:rFonts w:ascii="Times New Roman" w:eastAsia="Times New Roman" w:hAnsi="Times New Roman" w:cs="Times New Roman"/>
          <w:bCs/>
          <w:i/>
          <w:lang w:val="es-ES" w:eastAsia="es-ES"/>
        </w:rPr>
        <w:t xml:space="preserve">con el proveedor estratégico </w:t>
      </w:r>
      <w:proofErr w:type="spellStart"/>
      <w:r w:rsidR="0026783E" w:rsidRPr="00FE5001">
        <w:rPr>
          <w:rFonts w:ascii="Times New Roman" w:eastAsia="Times New Roman" w:hAnsi="Times New Roman" w:cs="Times New Roman"/>
          <w:bCs/>
          <w:i/>
          <w:lang w:val="es-ES" w:eastAsia="es-ES"/>
        </w:rPr>
        <w:t>Tecnalis</w:t>
      </w:r>
      <w:proofErr w:type="spellEnd"/>
      <w:r w:rsidR="0026783E" w:rsidRPr="00FE5001">
        <w:rPr>
          <w:rFonts w:ascii="Times New Roman" w:eastAsia="Times New Roman" w:hAnsi="Times New Roman" w:cs="Times New Roman"/>
          <w:bCs/>
          <w:i/>
          <w:lang w:val="es-ES" w:eastAsia="es-ES"/>
        </w:rPr>
        <w:t xml:space="preserve"> </w:t>
      </w:r>
      <w:proofErr w:type="spellStart"/>
      <w:r w:rsidR="0026783E" w:rsidRPr="00FE5001">
        <w:rPr>
          <w:rFonts w:ascii="Times New Roman" w:eastAsia="Times New Roman" w:hAnsi="Times New Roman" w:cs="Times New Roman"/>
          <w:bCs/>
          <w:i/>
          <w:lang w:val="es-ES" w:eastAsia="es-ES"/>
        </w:rPr>
        <w:t>Solution</w:t>
      </w:r>
      <w:proofErr w:type="spellEnd"/>
      <w:r w:rsidR="0026783E" w:rsidRPr="00FE5001">
        <w:rPr>
          <w:rFonts w:ascii="Times New Roman" w:eastAsia="Times New Roman" w:hAnsi="Times New Roman" w:cs="Times New Roman"/>
          <w:bCs/>
          <w:i/>
          <w:lang w:val="es-ES" w:eastAsia="es-ES"/>
        </w:rPr>
        <w:t xml:space="preserve"> </w:t>
      </w:r>
      <w:proofErr w:type="spellStart"/>
      <w:r w:rsidR="0026783E" w:rsidRPr="00FE5001">
        <w:rPr>
          <w:rFonts w:ascii="Times New Roman" w:eastAsia="Times New Roman" w:hAnsi="Times New Roman" w:cs="Times New Roman"/>
          <w:bCs/>
          <w:i/>
          <w:lang w:val="es-ES" w:eastAsia="es-ES"/>
        </w:rPr>
        <w:t>Providers</w:t>
      </w:r>
      <w:proofErr w:type="spellEnd"/>
      <w:r w:rsidR="0026783E" w:rsidRPr="00FE5001">
        <w:rPr>
          <w:rFonts w:ascii="Times New Roman" w:eastAsia="Times New Roman" w:hAnsi="Times New Roman" w:cs="Times New Roman"/>
          <w:bCs/>
          <w:i/>
          <w:lang w:val="es-ES" w:eastAsia="es-ES"/>
        </w:rPr>
        <w:t xml:space="preserve"> S.L., firma muy reconocida en el mundo </w:t>
      </w:r>
      <w:r w:rsidR="00444856">
        <w:rPr>
          <w:rFonts w:ascii="Times New Roman" w:eastAsia="Times New Roman" w:hAnsi="Times New Roman" w:cs="Times New Roman"/>
          <w:bCs/>
          <w:i/>
          <w:lang w:val="es-ES" w:eastAsia="es-ES"/>
        </w:rPr>
        <w:t xml:space="preserve">que </w:t>
      </w:r>
      <w:r w:rsidR="0026783E" w:rsidRPr="00FE5001">
        <w:rPr>
          <w:rFonts w:ascii="Times New Roman" w:eastAsia="Times New Roman" w:hAnsi="Times New Roman" w:cs="Times New Roman"/>
          <w:bCs/>
          <w:i/>
          <w:lang w:val="es-ES" w:eastAsia="es-ES"/>
        </w:rPr>
        <w:t xml:space="preserve">brinda soluciones de este tipo, </w:t>
      </w:r>
      <w:r w:rsidR="00444856">
        <w:rPr>
          <w:rFonts w:ascii="Times New Roman" w:eastAsia="Times New Roman" w:hAnsi="Times New Roman" w:cs="Times New Roman"/>
          <w:bCs/>
          <w:i/>
          <w:lang w:val="es-ES" w:eastAsia="es-ES"/>
        </w:rPr>
        <w:t xml:space="preserve">integrando verticales de juego (95%) </w:t>
      </w:r>
      <w:r w:rsidR="0026783E" w:rsidRPr="00FE5001">
        <w:rPr>
          <w:rFonts w:ascii="Times New Roman" w:eastAsia="Times New Roman" w:hAnsi="Times New Roman" w:cs="Times New Roman"/>
          <w:bCs/>
          <w:i/>
          <w:lang w:val="es-ES" w:eastAsia="es-ES"/>
        </w:rPr>
        <w:t xml:space="preserve">para que sean operadas por terceros. A la vez está en proceso de generar alianzas con diferentes proveedores estratégicos para poder ofrecer productos homogéneos en todas sus licencias. Un equipo multidisciplinario liderará de forma autónoma dicho negocio integrando todas las variables del juego, desde lo operativo (cobranzas, marketing digital, diferentes juegos, apuestas, pagos, </w:t>
      </w:r>
      <w:proofErr w:type="spellStart"/>
      <w:r w:rsidR="0026783E" w:rsidRPr="00FE5001">
        <w:rPr>
          <w:rFonts w:ascii="Times New Roman" w:eastAsia="Times New Roman" w:hAnsi="Times New Roman" w:cs="Times New Roman"/>
          <w:bCs/>
          <w:i/>
          <w:lang w:val="es-ES" w:eastAsia="es-ES"/>
        </w:rPr>
        <w:t>compliance</w:t>
      </w:r>
      <w:proofErr w:type="spellEnd"/>
      <w:r w:rsidR="0026783E" w:rsidRPr="00FE5001">
        <w:rPr>
          <w:rFonts w:ascii="Times New Roman" w:eastAsia="Times New Roman" w:hAnsi="Times New Roman" w:cs="Times New Roman"/>
          <w:bCs/>
          <w:i/>
          <w:lang w:val="es-ES" w:eastAsia="es-ES"/>
        </w:rPr>
        <w:t xml:space="preserve"> y </w:t>
      </w:r>
      <w:proofErr w:type="spellStart"/>
      <w:r w:rsidR="0026783E" w:rsidRPr="00FE5001">
        <w:rPr>
          <w:rFonts w:ascii="Times New Roman" w:eastAsia="Times New Roman" w:hAnsi="Times New Roman" w:cs="Times New Roman"/>
          <w:bCs/>
          <w:i/>
          <w:lang w:val="es-ES" w:eastAsia="es-ES"/>
        </w:rPr>
        <w:t>backoffice</w:t>
      </w:r>
      <w:proofErr w:type="spellEnd"/>
      <w:r w:rsidR="0026783E" w:rsidRPr="00FE5001">
        <w:rPr>
          <w:rFonts w:ascii="Times New Roman" w:eastAsia="Times New Roman" w:hAnsi="Times New Roman" w:cs="Times New Roman"/>
          <w:bCs/>
          <w:i/>
          <w:lang w:val="es-ES" w:eastAsia="es-ES"/>
        </w:rPr>
        <w:t xml:space="preserve">) que ya se encuentra en funcionamiento y está prestando servicios a Casino 7 Saltos S.A en </w:t>
      </w:r>
      <w:r w:rsidR="002E0733" w:rsidRPr="00FE5001">
        <w:rPr>
          <w:rFonts w:ascii="Times New Roman" w:eastAsia="Times New Roman" w:hAnsi="Times New Roman" w:cs="Times New Roman"/>
          <w:bCs/>
          <w:i/>
          <w:lang w:val="es-ES" w:eastAsia="es-ES"/>
        </w:rPr>
        <w:t xml:space="preserve">la República del </w:t>
      </w:r>
      <w:r w:rsidR="0026783E" w:rsidRPr="00FE5001">
        <w:rPr>
          <w:rFonts w:ascii="Times New Roman" w:eastAsia="Times New Roman" w:hAnsi="Times New Roman" w:cs="Times New Roman"/>
          <w:bCs/>
          <w:i/>
          <w:lang w:val="es-ES" w:eastAsia="es-ES"/>
        </w:rPr>
        <w:t xml:space="preserve">Paraguay </w:t>
      </w:r>
      <w:bookmarkStart w:id="6" w:name="_Hlk92390640"/>
      <w:r w:rsidR="00937623" w:rsidRPr="00FE5001">
        <w:rPr>
          <w:rFonts w:ascii="Times New Roman" w:eastAsia="Times New Roman" w:hAnsi="Times New Roman" w:cs="Times New Roman"/>
          <w:bCs/>
          <w:i/>
          <w:lang w:val="es-ES" w:eastAsia="es-ES"/>
        </w:rPr>
        <w:t>(compañía en la cual Boldt posee participación accionaria)</w:t>
      </w:r>
      <w:bookmarkEnd w:id="6"/>
      <w:r w:rsidR="00937623" w:rsidRPr="00FE5001">
        <w:rPr>
          <w:rFonts w:ascii="Times New Roman" w:eastAsia="Times New Roman" w:hAnsi="Times New Roman" w:cs="Times New Roman"/>
          <w:bCs/>
          <w:i/>
          <w:lang w:val="es-ES" w:eastAsia="es-ES"/>
        </w:rPr>
        <w:t>,</w:t>
      </w:r>
      <w:r w:rsidR="0026783E" w:rsidRPr="00FE5001">
        <w:rPr>
          <w:rFonts w:ascii="Times New Roman" w:eastAsia="Times New Roman" w:hAnsi="Times New Roman" w:cs="Times New Roman"/>
          <w:bCs/>
          <w:i/>
          <w:lang w:val="es-ES" w:eastAsia="es-ES"/>
        </w:rPr>
        <w:t xml:space="preserve"> </w:t>
      </w:r>
      <w:r w:rsidR="00937623" w:rsidRPr="00FE5001">
        <w:rPr>
          <w:rFonts w:ascii="Times New Roman" w:eastAsia="Times New Roman" w:hAnsi="Times New Roman" w:cs="Times New Roman"/>
          <w:bCs/>
          <w:i/>
          <w:lang w:val="es-ES" w:eastAsia="es-ES"/>
        </w:rPr>
        <w:t xml:space="preserve">en </w:t>
      </w:r>
      <w:r w:rsidR="0026783E" w:rsidRPr="00FE5001">
        <w:rPr>
          <w:rFonts w:ascii="Times New Roman" w:eastAsia="Times New Roman" w:hAnsi="Times New Roman" w:cs="Times New Roman"/>
          <w:bCs/>
          <w:i/>
          <w:lang w:val="es-ES" w:eastAsia="es-ES"/>
        </w:rPr>
        <w:t>Santa Fe</w:t>
      </w:r>
      <w:r w:rsidR="00937623" w:rsidRPr="00FE5001">
        <w:rPr>
          <w:rFonts w:ascii="Times New Roman" w:eastAsia="Times New Roman" w:hAnsi="Times New Roman" w:cs="Times New Roman"/>
          <w:bCs/>
          <w:i/>
          <w:lang w:val="es-ES" w:eastAsia="es-ES"/>
        </w:rPr>
        <w:t xml:space="preserve"> a Casino Puerto Santa Fe S.A. y Casino Melincué S.A.</w:t>
      </w:r>
      <w:r w:rsidR="0026783E" w:rsidRPr="00FE5001">
        <w:rPr>
          <w:rFonts w:ascii="Times New Roman" w:eastAsia="Times New Roman" w:hAnsi="Times New Roman" w:cs="Times New Roman"/>
          <w:bCs/>
          <w:i/>
          <w:lang w:val="es-ES" w:eastAsia="es-ES"/>
        </w:rPr>
        <w:t xml:space="preserve"> (d</w:t>
      </w:r>
      <w:r w:rsidR="00937623" w:rsidRPr="00FE5001">
        <w:rPr>
          <w:rFonts w:ascii="Times New Roman" w:eastAsia="Times New Roman" w:hAnsi="Times New Roman" w:cs="Times New Roman"/>
          <w:bCs/>
          <w:i/>
          <w:lang w:val="es-ES" w:eastAsia="es-ES"/>
        </w:rPr>
        <w:t>o</w:t>
      </w:r>
      <w:r w:rsidR="0026783E" w:rsidRPr="00FE5001">
        <w:rPr>
          <w:rFonts w:ascii="Times New Roman" w:eastAsia="Times New Roman" w:hAnsi="Times New Roman" w:cs="Times New Roman"/>
          <w:bCs/>
          <w:i/>
          <w:lang w:val="es-ES" w:eastAsia="es-ES"/>
        </w:rPr>
        <w:t>nde Boldt  participa</w:t>
      </w:r>
      <w:r w:rsidR="00937623" w:rsidRPr="00FE5001">
        <w:rPr>
          <w:rFonts w:ascii="Times New Roman" w:eastAsia="Times New Roman" w:hAnsi="Times New Roman" w:cs="Times New Roman"/>
          <w:bCs/>
          <w:i/>
          <w:lang w:val="es-ES" w:eastAsia="es-ES"/>
        </w:rPr>
        <w:t xml:space="preserve"> en un 50% en cada sociedad</w:t>
      </w:r>
      <w:r w:rsidR="0026783E" w:rsidRPr="00FE5001">
        <w:rPr>
          <w:rFonts w:ascii="Times New Roman" w:eastAsia="Times New Roman" w:hAnsi="Times New Roman" w:cs="Times New Roman"/>
          <w:bCs/>
          <w:i/>
          <w:lang w:val="es-ES" w:eastAsia="es-ES"/>
        </w:rPr>
        <w:t>) y</w:t>
      </w:r>
      <w:r w:rsidR="00937623" w:rsidRPr="00FE5001">
        <w:rPr>
          <w:rFonts w:ascii="Times New Roman" w:eastAsia="Times New Roman" w:hAnsi="Times New Roman" w:cs="Times New Roman"/>
          <w:bCs/>
          <w:i/>
          <w:lang w:val="es-ES" w:eastAsia="es-ES"/>
        </w:rPr>
        <w:t>,</w:t>
      </w:r>
      <w:r w:rsidR="0026783E" w:rsidRPr="00FE5001">
        <w:rPr>
          <w:rFonts w:ascii="Times New Roman" w:eastAsia="Times New Roman" w:hAnsi="Times New Roman" w:cs="Times New Roman"/>
          <w:bCs/>
          <w:i/>
          <w:lang w:val="es-ES" w:eastAsia="es-ES"/>
        </w:rPr>
        <w:t xml:space="preserve"> como se menciona</w:t>
      </w:r>
      <w:r w:rsidR="00937623" w:rsidRPr="00FE5001">
        <w:rPr>
          <w:rFonts w:ascii="Times New Roman" w:eastAsia="Times New Roman" w:hAnsi="Times New Roman" w:cs="Times New Roman"/>
          <w:bCs/>
          <w:i/>
          <w:lang w:val="es-ES" w:eastAsia="es-ES"/>
        </w:rPr>
        <w:t xml:space="preserve"> más adelante,</w:t>
      </w:r>
      <w:r w:rsidR="0026783E" w:rsidRPr="00FE5001">
        <w:rPr>
          <w:rFonts w:ascii="Times New Roman" w:eastAsia="Times New Roman" w:hAnsi="Times New Roman" w:cs="Times New Roman"/>
          <w:bCs/>
          <w:i/>
          <w:lang w:val="es-ES" w:eastAsia="es-ES"/>
        </w:rPr>
        <w:t xml:space="preserve"> a ambas </w:t>
      </w:r>
      <w:proofErr w:type="spellStart"/>
      <w:r w:rsidR="0026783E" w:rsidRPr="00FE5001">
        <w:rPr>
          <w:rFonts w:ascii="Times New Roman" w:eastAsia="Times New Roman" w:hAnsi="Times New Roman" w:cs="Times New Roman"/>
          <w:bCs/>
          <w:i/>
          <w:lang w:val="es-ES" w:eastAsia="es-ES"/>
        </w:rPr>
        <w:t>UTs</w:t>
      </w:r>
      <w:proofErr w:type="spellEnd"/>
      <w:r w:rsidR="0026783E" w:rsidRPr="00FE5001">
        <w:rPr>
          <w:rFonts w:ascii="Times New Roman" w:eastAsia="Times New Roman" w:hAnsi="Times New Roman" w:cs="Times New Roman"/>
          <w:bCs/>
          <w:i/>
          <w:lang w:val="es-ES" w:eastAsia="es-ES"/>
        </w:rPr>
        <w:t xml:space="preserve"> </w:t>
      </w:r>
      <w:r w:rsidR="00937623" w:rsidRPr="00FE5001">
        <w:rPr>
          <w:rFonts w:ascii="Times New Roman" w:eastAsia="Times New Roman" w:hAnsi="Times New Roman" w:cs="Times New Roman"/>
          <w:bCs/>
          <w:i/>
          <w:lang w:val="es-ES" w:eastAsia="es-ES"/>
        </w:rPr>
        <w:t xml:space="preserve">en </w:t>
      </w:r>
      <w:r w:rsidR="0026783E" w:rsidRPr="00FE5001">
        <w:rPr>
          <w:rFonts w:ascii="Times New Roman" w:eastAsia="Times New Roman" w:hAnsi="Times New Roman" w:cs="Times New Roman"/>
          <w:bCs/>
          <w:i/>
          <w:lang w:val="es-ES" w:eastAsia="es-ES"/>
        </w:rPr>
        <w:t xml:space="preserve">las que Boldt es </w:t>
      </w:r>
      <w:r w:rsidR="00937623" w:rsidRPr="00FE5001">
        <w:rPr>
          <w:rFonts w:ascii="Times New Roman" w:eastAsia="Times New Roman" w:hAnsi="Times New Roman" w:cs="Times New Roman"/>
          <w:bCs/>
          <w:i/>
          <w:lang w:val="es-ES" w:eastAsia="es-ES"/>
        </w:rPr>
        <w:t>titular de la mayor participación</w:t>
      </w:r>
      <w:r w:rsidR="00444856">
        <w:rPr>
          <w:rFonts w:ascii="Times New Roman" w:eastAsia="Times New Roman" w:hAnsi="Times New Roman" w:cs="Times New Roman"/>
          <w:bCs/>
          <w:i/>
          <w:lang w:val="es-ES" w:eastAsia="es-ES"/>
        </w:rPr>
        <w:t xml:space="preserve"> (95%)</w:t>
      </w:r>
      <w:r w:rsidR="0026783E" w:rsidRPr="00FE5001">
        <w:rPr>
          <w:rFonts w:ascii="Times New Roman" w:eastAsia="Times New Roman" w:hAnsi="Times New Roman" w:cs="Times New Roman"/>
          <w:bCs/>
          <w:i/>
          <w:lang w:val="es-ES" w:eastAsia="es-ES"/>
        </w:rPr>
        <w:t xml:space="preserve"> y las que han obtenido </w:t>
      </w:r>
      <w:r w:rsidR="00444856">
        <w:rPr>
          <w:rFonts w:ascii="Times New Roman" w:eastAsia="Times New Roman" w:hAnsi="Times New Roman" w:cs="Times New Roman"/>
          <w:bCs/>
          <w:i/>
          <w:lang w:val="es-ES" w:eastAsia="es-ES"/>
        </w:rPr>
        <w:t xml:space="preserve">sendas </w:t>
      </w:r>
      <w:r w:rsidR="0026783E" w:rsidRPr="00FE5001">
        <w:rPr>
          <w:rFonts w:ascii="Times New Roman" w:eastAsia="Times New Roman" w:hAnsi="Times New Roman" w:cs="Times New Roman"/>
          <w:bCs/>
          <w:i/>
          <w:lang w:val="es-ES" w:eastAsia="es-ES"/>
        </w:rPr>
        <w:t xml:space="preserve">licencias para operar en </w:t>
      </w:r>
      <w:r w:rsidR="00937623" w:rsidRPr="00FE5001">
        <w:rPr>
          <w:rFonts w:ascii="Times New Roman" w:eastAsia="Times New Roman" w:hAnsi="Times New Roman" w:cs="Times New Roman"/>
          <w:bCs/>
          <w:i/>
          <w:lang w:val="es-ES" w:eastAsia="es-ES"/>
        </w:rPr>
        <w:t xml:space="preserve">la </w:t>
      </w:r>
      <w:r w:rsidR="0026783E" w:rsidRPr="00FE5001">
        <w:rPr>
          <w:rFonts w:ascii="Times New Roman" w:eastAsia="Times New Roman" w:hAnsi="Times New Roman" w:cs="Times New Roman"/>
          <w:bCs/>
          <w:i/>
          <w:lang w:val="es-ES" w:eastAsia="es-ES"/>
        </w:rPr>
        <w:t xml:space="preserve">Ciudad </w:t>
      </w:r>
      <w:r w:rsidR="00937623" w:rsidRPr="00FE5001">
        <w:rPr>
          <w:rFonts w:ascii="Times New Roman" w:eastAsia="Times New Roman" w:hAnsi="Times New Roman" w:cs="Times New Roman"/>
          <w:bCs/>
          <w:i/>
          <w:lang w:val="es-ES" w:eastAsia="es-ES"/>
        </w:rPr>
        <w:t xml:space="preserve">Autónoma </w:t>
      </w:r>
      <w:r w:rsidR="0026783E" w:rsidRPr="00FE5001">
        <w:rPr>
          <w:rFonts w:ascii="Times New Roman" w:eastAsia="Times New Roman" w:hAnsi="Times New Roman" w:cs="Times New Roman"/>
          <w:bCs/>
          <w:i/>
          <w:lang w:val="es-ES" w:eastAsia="es-ES"/>
        </w:rPr>
        <w:t xml:space="preserve">de Buenos Aires y </w:t>
      </w:r>
      <w:r w:rsidR="00937623" w:rsidRPr="00FE5001">
        <w:rPr>
          <w:rFonts w:ascii="Times New Roman" w:eastAsia="Times New Roman" w:hAnsi="Times New Roman" w:cs="Times New Roman"/>
          <w:bCs/>
          <w:i/>
          <w:lang w:val="es-ES" w:eastAsia="es-ES"/>
        </w:rPr>
        <w:t xml:space="preserve">en la </w:t>
      </w:r>
      <w:r w:rsidR="0026783E" w:rsidRPr="00FE5001">
        <w:rPr>
          <w:rFonts w:ascii="Times New Roman" w:eastAsia="Times New Roman" w:hAnsi="Times New Roman" w:cs="Times New Roman"/>
          <w:bCs/>
          <w:i/>
          <w:lang w:val="es-ES" w:eastAsia="es-ES"/>
        </w:rPr>
        <w:t>Provincia de Buenos Aires.</w:t>
      </w:r>
    </w:p>
    <w:p w14:paraId="77B2196C"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5F7EABB5" w14:textId="6FBA52A0" w:rsidR="004202D8" w:rsidRPr="00FE5001" w:rsidRDefault="0061643F"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r>
      <w:r w:rsidR="004202D8" w:rsidRPr="00FE5001">
        <w:rPr>
          <w:rFonts w:ascii="Times New Roman" w:eastAsia="Times New Roman" w:hAnsi="Times New Roman" w:cs="Times New Roman"/>
          <w:bCs/>
          <w:i/>
          <w:lang w:val="es-ES" w:eastAsia="es-ES"/>
        </w:rPr>
        <w:t xml:space="preserve">El 20 de febrero de 2020 ante la convocatoria realizada por </w:t>
      </w:r>
      <w:r w:rsidR="007847B0" w:rsidRPr="00FE5001">
        <w:rPr>
          <w:rFonts w:ascii="Times New Roman" w:eastAsia="Times New Roman" w:hAnsi="Times New Roman" w:cs="Times New Roman"/>
          <w:bCs/>
          <w:i/>
          <w:lang w:val="es-ES" w:eastAsia="es-ES"/>
        </w:rPr>
        <w:t>Lotería de Buenos Aires S.E (“</w:t>
      </w:r>
      <w:r w:rsidR="004202D8" w:rsidRPr="00FE5001">
        <w:rPr>
          <w:rFonts w:ascii="Times New Roman" w:eastAsia="Times New Roman" w:hAnsi="Times New Roman" w:cs="Times New Roman"/>
          <w:bCs/>
          <w:i/>
          <w:lang w:val="es-ES" w:eastAsia="es-ES"/>
        </w:rPr>
        <w:t>LOTBA</w:t>
      </w:r>
      <w:r w:rsidR="007847B0" w:rsidRPr="00FE5001">
        <w:rPr>
          <w:rFonts w:ascii="Times New Roman" w:eastAsia="Times New Roman" w:hAnsi="Times New Roman" w:cs="Times New Roman"/>
          <w:bCs/>
          <w:i/>
          <w:lang w:val="es-ES" w:eastAsia="es-ES"/>
        </w:rPr>
        <w:t>”)</w:t>
      </w:r>
      <w:r w:rsidR="00F56081" w:rsidRPr="00FE5001">
        <w:rPr>
          <w:rFonts w:ascii="Times New Roman" w:eastAsia="Times New Roman" w:hAnsi="Times New Roman" w:cs="Times New Roman"/>
          <w:bCs/>
          <w:i/>
          <w:lang w:val="es-ES" w:eastAsia="es-ES"/>
        </w:rPr>
        <w:t xml:space="preserve"> para el otorgamiento de los permisos de juego </w:t>
      </w:r>
      <w:proofErr w:type="spellStart"/>
      <w:r w:rsidR="00F56081" w:rsidRPr="00FE5001">
        <w:rPr>
          <w:rFonts w:ascii="Times New Roman" w:eastAsia="Times New Roman" w:hAnsi="Times New Roman" w:cs="Times New Roman"/>
          <w:bCs/>
          <w:i/>
          <w:lang w:val="es-ES" w:eastAsia="es-ES"/>
        </w:rPr>
        <w:t>on</w:t>
      </w:r>
      <w:proofErr w:type="spellEnd"/>
      <w:r w:rsidR="00F56081" w:rsidRPr="00FE5001">
        <w:rPr>
          <w:rFonts w:ascii="Times New Roman" w:eastAsia="Times New Roman" w:hAnsi="Times New Roman" w:cs="Times New Roman"/>
          <w:bCs/>
          <w:i/>
          <w:lang w:val="es-ES" w:eastAsia="es-ES"/>
        </w:rPr>
        <w:t xml:space="preserve"> line</w:t>
      </w:r>
      <w:r w:rsidR="004202D8" w:rsidRPr="00FE5001">
        <w:rPr>
          <w:rFonts w:ascii="Times New Roman" w:eastAsia="Times New Roman" w:hAnsi="Times New Roman" w:cs="Times New Roman"/>
          <w:bCs/>
          <w:i/>
          <w:lang w:val="es-ES" w:eastAsia="es-ES"/>
        </w:rPr>
        <w:t>, la Compañía se había presentado en formato de unión transitoria (“UT”) conjuntamente con la sociedad B-</w:t>
      </w:r>
      <w:proofErr w:type="spellStart"/>
      <w:r w:rsidR="004202D8" w:rsidRPr="00FE5001">
        <w:rPr>
          <w:rFonts w:ascii="Times New Roman" w:eastAsia="Times New Roman" w:hAnsi="Times New Roman" w:cs="Times New Roman"/>
          <w:bCs/>
          <w:i/>
          <w:lang w:val="es-ES" w:eastAsia="es-ES"/>
        </w:rPr>
        <w:t>Gaming</w:t>
      </w:r>
      <w:proofErr w:type="spellEnd"/>
      <w:r w:rsidR="004202D8" w:rsidRPr="00FE5001">
        <w:rPr>
          <w:rFonts w:ascii="Times New Roman" w:eastAsia="Times New Roman" w:hAnsi="Times New Roman" w:cs="Times New Roman"/>
          <w:bCs/>
          <w:i/>
          <w:lang w:val="es-ES" w:eastAsia="es-ES"/>
        </w:rPr>
        <w:t xml:space="preserve"> S.A. conformando </w:t>
      </w:r>
      <w:r w:rsidR="007847B0" w:rsidRPr="00FE5001">
        <w:rPr>
          <w:rFonts w:ascii="Times New Roman" w:eastAsia="Times New Roman" w:hAnsi="Times New Roman" w:cs="Times New Roman"/>
          <w:bCs/>
          <w:i/>
          <w:lang w:val="es-ES" w:eastAsia="es-ES"/>
        </w:rPr>
        <w:t xml:space="preserve">así </w:t>
      </w:r>
      <w:r w:rsidR="004202D8" w:rsidRPr="00FE5001">
        <w:rPr>
          <w:rFonts w:ascii="Times New Roman" w:eastAsia="Times New Roman" w:hAnsi="Times New Roman" w:cs="Times New Roman"/>
          <w:bCs/>
          <w:i/>
          <w:lang w:val="es-ES" w:eastAsia="es-ES"/>
        </w:rPr>
        <w:t>Boldt</w:t>
      </w:r>
      <w:r w:rsidR="007847B0" w:rsidRPr="00FE5001">
        <w:rPr>
          <w:rFonts w:ascii="Times New Roman" w:eastAsia="Times New Roman" w:hAnsi="Times New Roman" w:cs="Times New Roman"/>
          <w:bCs/>
          <w:i/>
          <w:lang w:val="es-ES" w:eastAsia="es-ES"/>
        </w:rPr>
        <w:t xml:space="preserve"> S.A</w:t>
      </w:r>
      <w:r w:rsidR="004202D8" w:rsidRPr="00FE5001">
        <w:rPr>
          <w:rFonts w:ascii="Times New Roman" w:eastAsia="Times New Roman" w:hAnsi="Times New Roman" w:cs="Times New Roman"/>
          <w:bCs/>
          <w:i/>
          <w:lang w:val="es-ES" w:eastAsia="es-ES"/>
        </w:rPr>
        <w:t xml:space="preserve"> B-</w:t>
      </w:r>
      <w:proofErr w:type="spellStart"/>
      <w:r w:rsidR="004202D8" w:rsidRPr="00FE5001">
        <w:rPr>
          <w:rFonts w:ascii="Times New Roman" w:eastAsia="Times New Roman" w:hAnsi="Times New Roman" w:cs="Times New Roman"/>
          <w:bCs/>
          <w:i/>
          <w:lang w:val="es-ES" w:eastAsia="es-ES"/>
        </w:rPr>
        <w:t>Gaming</w:t>
      </w:r>
      <w:proofErr w:type="spellEnd"/>
      <w:r w:rsidR="007847B0" w:rsidRPr="00FE5001">
        <w:rPr>
          <w:rFonts w:ascii="Times New Roman" w:eastAsia="Times New Roman" w:hAnsi="Times New Roman" w:cs="Times New Roman"/>
          <w:bCs/>
          <w:i/>
          <w:lang w:val="es-ES" w:eastAsia="es-ES"/>
        </w:rPr>
        <w:t xml:space="preserve"> S.A UT (“UT Boldt B-</w:t>
      </w:r>
      <w:proofErr w:type="spellStart"/>
      <w:r w:rsidR="007847B0" w:rsidRPr="00FE5001">
        <w:rPr>
          <w:rFonts w:ascii="Times New Roman" w:eastAsia="Times New Roman" w:hAnsi="Times New Roman" w:cs="Times New Roman"/>
          <w:bCs/>
          <w:i/>
          <w:lang w:val="es-ES" w:eastAsia="es-ES"/>
        </w:rPr>
        <w:t>Gaming</w:t>
      </w:r>
      <w:proofErr w:type="spellEnd"/>
      <w:r w:rsidR="007847B0" w:rsidRPr="00FE5001">
        <w:rPr>
          <w:rFonts w:ascii="Times New Roman" w:eastAsia="Times New Roman" w:hAnsi="Times New Roman" w:cs="Times New Roman"/>
          <w:bCs/>
          <w:i/>
          <w:lang w:val="es-ES" w:eastAsia="es-ES"/>
        </w:rPr>
        <w:t>”)</w:t>
      </w:r>
      <w:r w:rsidR="004202D8" w:rsidRPr="00FE5001">
        <w:rPr>
          <w:rFonts w:ascii="Times New Roman" w:eastAsia="Times New Roman" w:hAnsi="Times New Roman" w:cs="Times New Roman"/>
          <w:bCs/>
          <w:i/>
          <w:lang w:val="es-ES" w:eastAsia="es-ES"/>
        </w:rPr>
        <w:t xml:space="preserve">, aportando su solidez patrimonial y </w:t>
      </w:r>
      <w:proofErr w:type="spellStart"/>
      <w:r w:rsidR="004202D8" w:rsidRPr="00FE5001">
        <w:rPr>
          <w:rFonts w:ascii="Times New Roman" w:eastAsia="Times New Roman" w:hAnsi="Times New Roman" w:cs="Times New Roman"/>
          <w:bCs/>
          <w:i/>
          <w:lang w:val="es-ES" w:eastAsia="es-ES"/>
        </w:rPr>
        <w:t>expertise</w:t>
      </w:r>
      <w:proofErr w:type="spellEnd"/>
      <w:r w:rsidR="004202D8" w:rsidRPr="00FE5001">
        <w:rPr>
          <w:rFonts w:ascii="Times New Roman" w:eastAsia="Times New Roman" w:hAnsi="Times New Roman" w:cs="Times New Roman"/>
          <w:bCs/>
          <w:i/>
          <w:lang w:val="es-ES" w:eastAsia="es-ES"/>
        </w:rPr>
        <w:t xml:space="preserve"> transaccional, en la que Boldt particip</w:t>
      </w:r>
      <w:r w:rsidR="007847B0" w:rsidRPr="00FE5001">
        <w:rPr>
          <w:rFonts w:ascii="Times New Roman" w:eastAsia="Times New Roman" w:hAnsi="Times New Roman" w:cs="Times New Roman"/>
          <w:bCs/>
          <w:i/>
          <w:lang w:val="es-ES" w:eastAsia="es-ES"/>
        </w:rPr>
        <w:t>a</w:t>
      </w:r>
      <w:r w:rsidR="004202D8" w:rsidRPr="00FE5001">
        <w:rPr>
          <w:rFonts w:ascii="Times New Roman" w:eastAsia="Times New Roman" w:hAnsi="Times New Roman" w:cs="Times New Roman"/>
          <w:bCs/>
          <w:i/>
          <w:lang w:val="es-ES" w:eastAsia="es-ES"/>
        </w:rPr>
        <w:t xml:space="preserve"> con un 95%. El proyecto técnico fue aprobado por LOTBA oportunamente para la UT la cual fue calificada entre los primeros seleccionados.</w:t>
      </w:r>
    </w:p>
    <w:p w14:paraId="1321C47C"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5AC41770" w14:textId="27D108ED" w:rsidR="004202D8"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 xml:space="preserve">Luego de haber sido notificados del otorgamiento a </w:t>
      </w:r>
      <w:r w:rsidR="00B87F75" w:rsidRPr="00FE5001">
        <w:rPr>
          <w:rFonts w:ascii="Times New Roman" w:eastAsia="Times New Roman" w:hAnsi="Times New Roman" w:cs="Times New Roman"/>
          <w:bCs/>
          <w:i/>
          <w:lang w:val="es-ES" w:eastAsia="es-ES"/>
        </w:rPr>
        <w:t xml:space="preserve">la </w:t>
      </w:r>
      <w:r w:rsidR="007847B0" w:rsidRPr="00FE5001">
        <w:rPr>
          <w:rFonts w:ascii="Times New Roman" w:eastAsia="Times New Roman" w:hAnsi="Times New Roman" w:cs="Times New Roman"/>
          <w:bCs/>
          <w:i/>
          <w:lang w:val="es-ES" w:eastAsia="es-ES"/>
        </w:rPr>
        <w:t>UT Boldt B-</w:t>
      </w:r>
      <w:proofErr w:type="spellStart"/>
      <w:r w:rsidR="007847B0" w:rsidRPr="00FE5001">
        <w:rPr>
          <w:rFonts w:ascii="Times New Roman" w:eastAsia="Times New Roman" w:hAnsi="Times New Roman" w:cs="Times New Roman"/>
          <w:bCs/>
          <w:i/>
          <w:lang w:val="es-ES" w:eastAsia="es-ES"/>
        </w:rPr>
        <w:t>Gaming</w:t>
      </w:r>
      <w:proofErr w:type="spellEnd"/>
      <w:r w:rsidR="007847B0" w:rsidRPr="00FE5001" w:rsidDel="007847B0">
        <w:rPr>
          <w:rFonts w:ascii="Times New Roman" w:eastAsia="Times New Roman" w:hAnsi="Times New Roman" w:cs="Times New Roman"/>
          <w:bCs/>
          <w:i/>
          <w:lang w:val="es-ES" w:eastAsia="es-ES"/>
        </w:rPr>
        <w:t xml:space="preserve"> </w:t>
      </w:r>
      <w:r w:rsidRPr="00FE5001">
        <w:rPr>
          <w:rFonts w:ascii="Times New Roman" w:eastAsia="Times New Roman" w:hAnsi="Times New Roman" w:cs="Times New Roman"/>
          <w:bCs/>
          <w:i/>
          <w:lang w:val="es-ES" w:eastAsia="es-ES"/>
        </w:rPr>
        <w:t>del permiso de Agencia de Juego en Línea</w:t>
      </w:r>
      <w:r w:rsidR="00B87F75" w:rsidRPr="00FE5001">
        <w:rPr>
          <w:rFonts w:ascii="Times New Roman" w:eastAsia="Times New Roman" w:hAnsi="Times New Roman" w:cs="Times New Roman"/>
          <w:bCs/>
          <w:i/>
          <w:lang w:val="es-ES" w:eastAsia="es-ES"/>
        </w:rPr>
        <w:t xml:space="preserve"> por parte de LOTBA</w:t>
      </w:r>
      <w:r w:rsidRPr="00FE5001">
        <w:rPr>
          <w:rFonts w:ascii="Times New Roman" w:eastAsia="Times New Roman" w:hAnsi="Times New Roman" w:cs="Times New Roman"/>
          <w:bCs/>
          <w:i/>
          <w:lang w:val="es-ES" w:eastAsia="es-ES"/>
        </w:rPr>
        <w:t>,</w:t>
      </w:r>
      <w:r w:rsidR="004202D8" w:rsidRPr="00FE5001">
        <w:rPr>
          <w:rFonts w:ascii="Times New Roman" w:eastAsia="Times New Roman" w:hAnsi="Times New Roman" w:cs="Times New Roman"/>
          <w:bCs/>
          <w:i/>
          <w:lang w:val="es-ES" w:eastAsia="es-ES"/>
        </w:rPr>
        <w:t xml:space="preserve"> </w:t>
      </w:r>
      <w:r w:rsidR="0061643F" w:rsidRPr="00FE5001">
        <w:rPr>
          <w:rFonts w:ascii="Times New Roman" w:eastAsia="Times New Roman" w:hAnsi="Times New Roman" w:cs="Times New Roman"/>
          <w:bCs/>
          <w:i/>
          <w:lang w:val="es-ES" w:eastAsia="es-ES"/>
        </w:rPr>
        <w:t xml:space="preserve">en </w:t>
      </w:r>
      <w:r w:rsidR="00F56081" w:rsidRPr="00FE5001">
        <w:rPr>
          <w:rFonts w:ascii="Times New Roman" w:eastAsia="Times New Roman" w:hAnsi="Times New Roman" w:cs="Times New Roman"/>
          <w:bCs/>
          <w:i/>
          <w:lang w:val="es-ES" w:eastAsia="es-ES"/>
        </w:rPr>
        <w:t>noviembre</w:t>
      </w:r>
      <w:r w:rsidR="0061643F" w:rsidRPr="00FE5001">
        <w:rPr>
          <w:rFonts w:ascii="Times New Roman" w:eastAsia="Times New Roman" w:hAnsi="Times New Roman" w:cs="Times New Roman"/>
          <w:bCs/>
          <w:i/>
          <w:lang w:val="es-ES" w:eastAsia="es-ES"/>
        </w:rPr>
        <w:t xml:space="preserve"> de 2021</w:t>
      </w:r>
      <w:r w:rsidR="00F56081" w:rsidRPr="00FE5001">
        <w:rPr>
          <w:rFonts w:ascii="Times New Roman" w:eastAsia="Times New Roman" w:hAnsi="Times New Roman" w:cs="Times New Roman"/>
          <w:bCs/>
          <w:i/>
          <w:lang w:val="es-ES" w:eastAsia="es-ES"/>
        </w:rPr>
        <w:t xml:space="preserve"> </w:t>
      </w:r>
      <w:r w:rsidR="0061643F" w:rsidRPr="00FE5001">
        <w:rPr>
          <w:rFonts w:ascii="Times New Roman" w:eastAsia="Times New Roman" w:hAnsi="Times New Roman" w:cs="Times New Roman"/>
          <w:bCs/>
          <w:i/>
          <w:lang w:val="es-ES" w:eastAsia="es-ES"/>
        </w:rPr>
        <w:t xml:space="preserve">la UT </w:t>
      </w:r>
      <w:r w:rsidR="004202D8" w:rsidRPr="00FE5001">
        <w:rPr>
          <w:rFonts w:ascii="Times New Roman" w:eastAsia="Times New Roman" w:hAnsi="Times New Roman" w:cs="Times New Roman"/>
          <w:bCs/>
          <w:i/>
          <w:lang w:val="es-ES" w:eastAsia="es-ES"/>
        </w:rPr>
        <w:t>ha sido notificada de la Resolución NO-2021-35267507-GCABA-LOTBA emitida por LOTBA por medio de la cual asign</w:t>
      </w:r>
      <w:r w:rsidR="0061643F" w:rsidRPr="00FE5001">
        <w:rPr>
          <w:rFonts w:ascii="Times New Roman" w:eastAsia="Times New Roman" w:hAnsi="Times New Roman" w:cs="Times New Roman"/>
          <w:bCs/>
          <w:i/>
          <w:lang w:val="es-ES" w:eastAsia="es-ES"/>
        </w:rPr>
        <w:t>ó como</w:t>
      </w:r>
      <w:r w:rsidR="004202D8" w:rsidRPr="00FE5001">
        <w:rPr>
          <w:rFonts w:ascii="Times New Roman" w:eastAsia="Times New Roman" w:hAnsi="Times New Roman" w:cs="Times New Roman"/>
          <w:bCs/>
          <w:i/>
          <w:lang w:val="es-ES" w:eastAsia="es-ES"/>
        </w:rPr>
        <w:t xml:space="preserve"> fecha de inicio de actividades el día 9 de diciembre</w:t>
      </w:r>
      <w:r w:rsidR="00F56081" w:rsidRPr="00FE5001">
        <w:rPr>
          <w:rFonts w:ascii="Times New Roman" w:eastAsia="Times New Roman" w:hAnsi="Times New Roman" w:cs="Times New Roman"/>
          <w:bCs/>
          <w:i/>
          <w:lang w:val="es-ES" w:eastAsia="es-ES"/>
        </w:rPr>
        <w:t xml:space="preserve"> 2021.</w:t>
      </w:r>
      <w:r w:rsidR="004202D8" w:rsidRPr="00FE5001">
        <w:rPr>
          <w:rFonts w:ascii="Times New Roman" w:eastAsia="Times New Roman" w:hAnsi="Times New Roman" w:cs="Times New Roman"/>
          <w:bCs/>
          <w:i/>
          <w:lang w:val="es-ES" w:eastAsia="es-ES"/>
        </w:rPr>
        <w:t xml:space="preserve"> </w:t>
      </w:r>
    </w:p>
    <w:p w14:paraId="2389B437"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0FB9923B" w14:textId="6BC1EB52" w:rsidR="008E7002"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 xml:space="preserve">Dicho permiso habilita para la comercialización y/o distribución y/o expendio de los juegos en línea identificados en la Resolución de Directorio Nro. 321-LOTBA/2019 (modificada por la Resolución de Directorio </w:t>
      </w:r>
      <w:proofErr w:type="spellStart"/>
      <w:r w:rsidRPr="00FE5001">
        <w:rPr>
          <w:rFonts w:ascii="Times New Roman" w:eastAsia="Times New Roman" w:hAnsi="Times New Roman" w:cs="Times New Roman"/>
          <w:bCs/>
          <w:i/>
          <w:lang w:val="es-ES" w:eastAsia="es-ES"/>
        </w:rPr>
        <w:t>N°</w:t>
      </w:r>
      <w:proofErr w:type="spellEnd"/>
      <w:r w:rsidRPr="00FE5001">
        <w:rPr>
          <w:rFonts w:ascii="Times New Roman" w:eastAsia="Times New Roman" w:hAnsi="Times New Roman" w:cs="Times New Roman"/>
          <w:bCs/>
          <w:i/>
          <w:lang w:val="es-ES" w:eastAsia="es-ES"/>
        </w:rPr>
        <w:t xml:space="preserve"> 49-LOTBA/20)</w:t>
      </w:r>
      <w:r w:rsidR="00B87F75" w:rsidRPr="00FE5001">
        <w:rPr>
          <w:rFonts w:ascii="Times New Roman" w:eastAsia="Times New Roman" w:hAnsi="Times New Roman" w:cs="Times New Roman"/>
          <w:bCs/>
          <w:i/>
          <w:lang w:val="es-ES" w:eastAsia="es-ES"/>
        </w:rPr>
        <w:t xml:space="preserve"> por un plazo de 5</w:t>
      </w:r>
      <w:r w:rsidR="0061643F" w:rsidRPr="00FE5001">
        <w:rPr>
          <w:rFonts w:ascii="Times New Roman" w:eastAsia="Times New Roman" w:hAnsi="Times New Roman" w:cs="Times New Roman"/>
          <w:bCs/>
          <w:i/>
          <w:lang w:val="es-ES" w:eastAsia="es-ES"/>
        </w:rPr>
        <w:t xml:space="preserve"> (cinco)</w:t>
      </w:r>
      <w:r w:rsidR="00B87F75" w:rsidRPr="00FE5001">
        <w:rPr>
          <w:rFonts w:ascii="Times New Roman" w:eastAsia="Times New Roman" w:hAnsi="Times New Roman" w:cs="Times New Roman"/>
          <w:bCs/>
          <w:i/>
          <w:lang w:val="es-ES" w:eastAsia="es-ES"/>
        </w:rPr>
        <w:t xml:space="preserve"> años contados a partir de la fecha determinada para el inicio de actividades y podrá prorrogarse por igual período previa solicitud del interesado, siempre que a criterio de LOTBA se encuentren reunidas las condiciones a tal efecto.</w:t>
      </w:r>
      <w:r w:rsidRPr="00FE5001">
        <w:rPr>
          <w:rFonts w:ascii="Times New Roman" w:eastAsia="Times New Roman" w:hAnsi="Times New Roman" w:cs="Times New Roman"/>
          <w:bCs/>
          <w:i/>
          <w:lang w:val="es-ES" w:eastAsia="es-ES"/>
        </w:rPr>
        <w:t xml:space="preserve"> </w:t>
      </w:r>
      <w:r w:rsidR="00B87F75" w:rsidRPr="00FE5001">
        <w:rPr>
          <w:rFonts w:ascii="Times New Roman" w:eastAsia="Times New Roman" w:hAnsi="Times New Roman" w:cs="Times New Roman"/>
          <w:bCs/>
          <w:i/>
          <w:lang w:val="es-ES" w:eastAsia="es-ES"/>
        </w:rPr>
        <w:t xml:space="preserve">Dicha actividad </w:t>
      </w:r>
      <w:r w:rsidRPr="00FE5001">
        <w:rPr>
          <w:rFonts w:ascii="Times New Roman" w:eastAsia="Times New Roman" w:hAnsi="Times New Roman" w:cs="Times New Roman"/>
          <w:bCs/>
          <w:i/>
          <w:lang w:val="es-ES" w:eastAsia="es-ES"/>
        </w:rPr>
        <w:t>se desarrollará a través de plataformas de juego en internet y/o de aplicaciones para dispositivos móviles, en el ámbito de la Ciudad Autónoma de Buenos Aires</w:t>
      </w:r>
      <w:r w:rsidR="00B87F75" w:rsidRPr="00FE5001">
        <w:rPr>
          <w:rFonts w:ascii="Times New Roman" w:eastAsia="Times New Roman" w:hAnsi="Times New Roman" w:cs="Times New Roman"/>
          <w:bCs/>
          <w:i/>
          <w:lang w:val="es-ES" w:eastAsia="es-ES"/>
        </w:rPr>
        <w:t xml:space="preserve"> en su </w:t>
      </w:r>
      <w:r w:rsidRPr="00FE5001">
        <w:rPr>
          <w:rFonts w:ascii="Times New Roman" w:eastAsia="Times New Roman" w:hAnsi="Times New Roman" w:cs="Times New Roman"/>
          <w:bCs/>
          <w:i/>
          <w:lang w:val="es-ES" w:eastAsia="es-ES"/>
        </w:rPr>
        <w:t>calidad de permisionario de LOTBA.</w:t>
      </w:r>
    </w:p>
    <w:p w14:paraId="01CA5B8E" w14:textId="39DDDED0" w:rsidR="00617D65" w:rsidRPr="00FE5001" w:rsidRDefault="00617D65" w:rsidP="00FE5001">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 xml:space="preserve"> </w:t>
      </w:r>
    </w:p>
    <w:p w14:paraId="01A2AC16" w14:textId="40310ADB" w:rsidR="004202D8" w:rsidRPr="00FE5001" w:rsidRDefault="006A7C52"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 xml:space="preserve">Resulta importante </w:t>
      </w:r>
      <w:r w:rsidR="0061643F" w:rsidRPr="00FE5001">
        <w:rPr>
          <w:rFonts w:ascii="Times New Roman" w:eastAsia="Times New Roman" w:hAnsi="Times New Roman" w:cs="Times New Roman"/>
          <w:bCs/>
          <w:i/>
          <w:lang w:val="es-ES" w:eastAsia="es-ES"/>
        </w:rPr>
        <w:t xml:space="preserve">destacar </w:t>
      </w:r>
      <w:r w:rsidR="00F56081" w:rsidRPr="00FE5001">
        <w:rPr>
          <w:rFonts w:ascii="Times New Roman" w:eastAsia="Times New Roman" w:hAnsi="Times New Roman" w:cs="Times New Roman"/>
          <w:bCs/>
          <w:i/>
          <w:lang w:val="es-ES" w:eastAsia="es-ES"/>
        </w:rPr>
        <w:t>que a la fecha no existen empresas locales que desarrollen juego en línea por ello mencionamos el importante esfuerzo humano y tecnológico realizado en desarrollo</w:t>
      </w:r>
      <w:r w:rsidR="00B87F75" w:rsidRPr="00FE5001">
        <w:rPr>
          <w:rFonts w:ascii="Times New Roman" w:eastAsia="Times New Roman" w:hAnsi="Times New Roman" w:cs="Times New Roman"/>
          <w:bCs/>
          <w:i/>
          <w:lang w:val="es-ES" w:eastAsia="es-ES"/>
        </w:rPr>
        <w:t>s</w:t>
      </w:r>
      <w:r w:rsidR="00F56081" w:rsidRPr="00FE5001">
        <w:rPr>
          <w:rFonts w:ascii="Times New Roman" w:eastAsia="Times New Roman" w:hAnsi="Times New Roman" w:cs="Times New Roman"/>
          <w:bCs/>
          <w:i/>
          <w:lang w:val="es-ES" w:eastAsia="es-ES"/>
        </w:rPr>
        <w:t xml:space="preserve"> de software, sistemas de control de última generación</w:t>
      </w:r>
      <w:r w:rsidR="00F017A7" w:rsidRPr="00FE5001">
        <w:rPr>
          <w:rFonts w:ascii="Times New Roman" w:eastAsia="Times New Roman" w:hAnsi="Times New Roman" w:cs="Times New Roman"/>
          <w:bCs/>
          <w:i/>
          <w:lang w:val="es-ES" w:eastAsia="es-ES"/>
        </w:rPr>
        <w:t xml:space="preserve">, </w:t>
      </w:r>
      <w:r w:rsidR="00F56081" w:rsidRPr="00FE5001">
        <w:rPr>
          <w:rFonts w:ascii="Times New Roman" w:eastAsia="Times New Roman" w:hAnsi="Times New Roman" w:cs="Times New Roman"/>
          <w:bCs/>
          <w:i/>
          <w:lang w:val="es-ES" w:eastAsia="es-ES"/>
        </w:rPr>
        <w:t xml:space="preserve">automatizaciones, contratación de proveedores </w:t>
      </w:r>
      <w:r w:rsidR="00492B34" w:rsidRPr="00FE5001">
        <w:rPr>
          <w:rFonts w:ascii="Times New Roman" w:eastAsia="Times New Roman" w:hAnsi="Times New Roman" w:cs="Times New Roman"/>
          <w:bCs/>
          <w:i/>
          <w:lang w:val="es-ES" w:eastAsia="es-ES"/>
        </w:rPr>
        <w:t xml:space="preserve">de renombre </w:t>
      </w:r>
      <w:r w:rsidR="00F56081" w:rsidRPr="00FE5001">
        <w:rPr>
          <w:rFonts w:ascii="Times New Roman" w:eastAsia="Times New Roman" w:hAnsi="Times New Roman" w:cs="Times New Roman"/>
          <w:bCs/>
          <w:i/>
          <w:lang w:val="es-ES" w:eastAsia="es-ES"/>
        </w:rPr>
        <w:t>internacional</w:t>
      </w:r>
      <w:r w:rsidR="00F017A7" w:rsidRPr="00FE5001">
        <w:rPr>
          <w:rFonts w:ascii="Times New Roman" w:eastAsia="Times New Roman" w:hAnsi="Times New Roman" w:cs="Times New Roman"/>
          <w:bCs/>
          <w:i/>
          <w:lang w:val="es-ES" w:eastAsia="es-ES"/>
        </w:rPr>
        <w:t>, medios de pago</w:t>
      </w:r>
      <w:r w:rsidR="00F56081" w:rsidRPr="00FE5001">
        <w:rPr>
          <w:rFonts w:ascii="Times New Roman" w:eastAsia="Times New Roman" w:hAnsi="Times New Roman" w:cs="Times New Roman"/>
          <w:bCs/>
          <w:i/>
          <w:lang w:val="es-ES" w:eastAsia="es-ES"/>
        </w:rPr>
        <w:t xml:space="preserve"> y toda la capacitación del personal en tiempo r</w:t>
      </w:r>
      <w:r w:rsidR="0061643F" w:rsidRPr="00FE5001">
        <w:rPr>
          <w:rFonts w:ascii="Times New Roman" w:eastAsia="Times New Roman" w:hAnsi="Times New Roman" w:cs="Times New Roman"/>
          <w:bCs/>
          <w:i/>
          <w:lang w:val="es-ES" w:eastAsia="es-ES"/>
        </w:rPr>
        <w:t>é</w:t>
      </w:r>
      <w:r w:rsidR="00F56081" w:rsidRPr="00FE5001">
        <w:rPr>
          <w:rFonts w:ascii="Times New Roman" w:eastAsia="Times New Roman" w:hAnsi="Times New Roman" w:cs="Times New Roman"/>
          <w:bCs/>
          <w:i/>
          <w:lang w:val="es-ES" w:eastAsia="es-ES"/>
        </w:rPr>
        <w:t xml:space="preserve">cord para que finalmente </w:t>
      </w:r>
      <w:r w:rsidR="00492B34" w:rsidRPr="00FE5001">
        <w:rPr>
          <w:rFonts w:ascii="Times New Roman" w:eastAsia="Times New Roman" w:hAnsi="Times New Roman" w:cs="Times New Roman"/>
          <w:bCs/>
          <w:i/>
          <w:lang w:val="es-ES" w:eastAsia="es-ES"/>
        </w:rPr>
        <w:t xml:space="preserve">como hecho posterior al cierre, </w:t>
      </w:r>
      <w:r w:rsidR="00F56081" w:rsidRPr="00FE5001">
        <w:rPr>
          <w:rFonts w:ascii="Times New Roman" w:eastAsia="Times New Roman" w:hAnsi="Times New Roman" w:cs="Times New Roman"/>
          <w:bCs/>
          <w:i/>
          <w:lang w:val="es-ES" w:eastAsia="es-ES"/>
        </w:rPr>
        <w:t xml:space="preserve">el </w:t>
      </w:r>
      <w:r w:rsidR="004202D8" w:rsidRPr="00FE5001">
        <w:rPr>
          <w:rFonts w:ascii="Times New Roman" w:eastAsia="Times New Roman" w:hAnsi="Times New Roman" w:cs="Times New Roman"/>
          <w:bCs/>
          <w:i/>
          <w:lang w:val="es-ES" w:eastAsia="es-ES"/>
        </w:rPr>
        <w:t>20</w:t>
      </w:r>
      <w:r w:rsidR="00F56081" w:rsidRPr="00FE5001">
        <w:rPr>
          <w:rFonts w:ascii="Times New Roman" w:eastAsia="Times New Roman" w:hAnsi="Times New Roman" w:cs="Times New Roman"/>
          <w:bCs/>
          <w:i/>
          <w:lang w:val="es-ES" w:eastAsia="es-ES"/>
        </w:rPr>
        <w:t xml:space="preserve"> de diciembre saliéramos</w:t>
      </w:r>
      <w:r w:rsidR="004202D8" w:rsidRPr="00FE5001">
        <w:rPr>
          <w:rFonts w:ascii="Times New Roman" w:eastAsia="Times New Roman" w:hAnsi="Times New Roman" w:cs="Times New Roman"/>
          <w:bCs/>
          <w:i/>
          <w:lang w:val="es-ES" w:eastAsia="es-ES"/>
        </w:rPr>
        <w:t xml:space="preserve"> en vivo con juegos</w:t>
      </w:r>
      <w:r w:rsidR="00B87F75" w:rsidRPr="00FE5001">
        <w:rPr>
          <w:rFonts w:ascii="Times New Roman" w:eastAsia="Times New Roman" w:hAnsi="Times New Roman" w:cs="Times New Roman"/>
          <w:bCs/>
          <w:i/>
          <w:lang w:val="es-ES" w:eastAsia="es-ES"/>
        </w:rPr>
        <w:t xml:space="preserve"> de casino</w:t>
      </w:r>
      <w:r w:rsidR="00492B34" w:rsidRPr="00FE5001">
        <w:rPr>
          <w:rFonts w:ascii="Times New Roman" w:eastAsia="Times New Roman" w:hAnsi="Times New Roman" w:cs="Times New Roman"/>
          <w:bCs/>
          <w:i/>
          <w:lang w:val="es-ES" w:eastAsia="es-ES"/>
        </w:rPr>
        <w:t xml:space="preserve"> en línea</w:t>
      </w:r>
      <w:r w:rsidR="004202D8" w:rsidRPr="00FE5001">
        <w:rPr>
          <w:rFonts w:ascii="Times New Roman" w:eastAsia="Times New Roman" w:hAnsi="Times New Roman" w:cs="Times New Roman"/>
          <w:bCs/>
          <w:i/>
          <w:lang w:val="es-ES" w:eastAsia="es-ES"/>
        </w:rPr>
        <w:t xml:space="preserve"> y el 29</w:t>
      </w:r>
      <w:r w:rsidR="00F56081" w:rsidRPr="00FE5001">
        <w:rPr>
          <w:rFonts w:ascii="Times New Roman" w:eastAsia="Times New Roman" w:hAnsi="Times New Roman" w:cs="Times New Roman"/>
          <w:bCs/>
          <w:i/>
          <w:lang w:val="es-ES" w:eastAsia="es-ES"/>
        </w:rPr>
        <w:t xml:space="preserve"> de diciembre </w:t>
      </w:r>
      <w:r w:rsidR="004202D8" w:rsidRPr="00FE5001">
        <w:rPr>
          <w:rFonts w:ascii="Times New Roman" w:eastAsia="Times New Roman" w:hAnsi="Times New Roman" w:cs="Times New Roman"/>
          <w:bCs/>
          <w:i/>
          <w:lang w:val="es-ES" w:eastAsia="es-ES"/>
        </w:rPr>
        <w:t>con apuestas deportivas</w:t>
      </w:r>
      <w:r w:rsidR="00F56081" w:rsidRPr="00FE5001">
        <w:rPr>
          <w:rFonts w:ascii="Times New Roman" w:eastAsia="Times New Roman" w:hAnsi="Times New Roman" w:cs="Times New Roman"/>
          <w:bCs/>
          <w:i/>
          <w:lang w:val="es-ES" w:eastAsia="es-ES"/>
        </w:rPr>
        <w:t>.</w:t>
      </w:r>
    </w:p>
    <w:p w14:paraId="29440CB4"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698A63E8" w14:textId="09E16112" w:rsidR="00F017A7"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r>
      <w:r w:rsidR="00F017A7" w:rsidRPr="00FE5001">
        <w:rPr>
          <w:rFonts w:ascii="Times New Roman" w:eastAsia="Times New Roman" w:hAnsi="Times New Roman" w:cs="Times New Roman"/>
          <w:bCs/>
          <w:i/>
          <w:lang w:val="es-ES" w:eastAsia="es-ES"/>
        </w:rPr>
        <w:t xml:space="preserve">Con fecha 4 de enero de 2021, el </w:t>
      </w:r>
      <w:r w:rsidR="00B87F75" w:rsidRPr="00FE5001">
        <w:rPr>
          <w:rFonts w:ascii="Times New Roman" w:eastAsia="Times New Roman" w:hAnsi="Times New Roman" w:cs="Times New Roman"/>
          <w:bCs/>
          <w:i/>
          <w:lang w:val="es-ES" w:eastAsia="es-ES"/>
        </w:rPr>
        <w:t xml:space="preserve">Instituto Provincial de Loterías y Casinos </w:t>
      </w:r>
      <w:proofErr w:type="spellStart"/>
      <w:r w:rsidR="00B87F75" w:rsidRPr="00FE5001">
        <w:rPr>
          <w:rFonts w:ascii="Times New Roman" w:eastAsia="Times New Roman" w:hAnsi="Times New Roman" w:cs="Times New Roman"/>
          <w:bCs/>
          <w:i/>
          <w:lang w:val="es-ES" w:eastAsia="es-ES"/>
        </w:rPr>
        <w:t>de l</w:t>
      </w:r>
      <w:proofErr w:type="spellEnd"/>
      <w:r w:rsidR="00B87F75" w:rsidRPr="00FE5001">
        <w:rPr>
          <w:rFonts w:ascii="Times New Roman" w:eastAsia="Times New Roman" w:hAnsi="Times New Roman" w:cs="Times New Roman"/>
          <w:bCs/>
          <w:i/>
          <w:lang w:val="es-ES" w:eastAsia="es-ES"/>
        </w:rPr>
        <w:t xml:space="preserve"> Provincia de Buenos Aires (“</w:t>
      </w:r>
      <w:proofErr w:type="spellStart"/>
      <w:r w:rsidR="00F017A7" w:rsidRPr="00FE5001">
        <w:rPr>
          <w:rFonts w:ascii="Times New Roman" w:eastAsia="Times New Roman" w:hAnsi="Times New Roman" w:cs="Times New Roman"/>
          <w:bCs/>
          <w:i/>
          <w:lang w:val="es-ES" w:eastAsia="es-ES"/>
        </w:rPr>
        <w:t>IPLyC</w:t>
      </w:r>
      <w:proofErr w:type="spellEnd"/>
      <w:r w:rsidR="00B87F75" w:rsidRPr="00FE5001">
        <w:rPr>
          <w:rFonts w:ascii="Times New Roman" w:eastAsia="Times New Roman" w:hAnsi="Times New Roman" w:cs="Times New Roman"/>
          <w:bCs/>
          <w:i/>
          <w:lang w:val="es-ES" w:eastAsia="es-ES"/>
        </w:rPr>
        <w:t>”)</w:t>
      </w:r>
      <w:r w:rsidR="00F017A7" w:rsidRPr="00FE5001">
        <w:rPr>
          <w:rFonts w:ascii="Times New Roman" w:eastAsia="Times New Roman" w:hAnsi="Times New Roman" w:cs="Times New Roman"/>
          <w:bCs/>
          <w:i/>
          <w:lang w:val="es-ES" w:eastAsia="es-ES"/>
        </w:rPr>
        <w:t xml:space="preserve"> otorgó a </w:t>
      </w:r>
      <w:r w:rsidR="00B87F75" w:rsidRPr="00FE5001">
        <w:rPr>
          <w:rFonts w:ascii="Times New Roman" w:eastAsia="Times New Roman" w:hAnsi="Times New Roman" w:cs="Times New Roman"/>
          <w:bCs/>
          <w:i/>
          <w:lang w:val="es-ES" w:eastAsia="es-ES"/>
        </w:rPr>
        <w:t xml:space="preserve">la </w:t>
      </w:r>
      <w:r w:rsidR="00F017A7" w:rsidRPr="00FE5001">
        <w:rPr>
          <w:rFonts w:ascii="Times New Roman" w:eastAsia="Times New Roman" w:hAnsi="Times New Roman" w:cs="Times New Roman"/>
          <w:bCs/>
          <w:i/>
          <w:lang w:val="es-ES" w:eastAsia="es-ES"/>
        </w:rPr>
        <w:t>unión transitoria (</w:t>
      </w:r>
      <w:r w:rsidR="00B901C8" w:rsidRPr="00FE5001">
        <w:rPr>
          <w:rFonts w:ascii="Times New Roman" w:eastAsia="Times New Roman" w:hAnsi="Times New Roman" w:cs="Times New Roman"/>
          <w:bCs/>
          <w:i/>
          <w:lang w:val="es-ES" w:eastAsia="es-ES"/>
        </w:rPr>
        <w:t>“</w:t>
      </w:r>
      <w:r w:rsidR="00F017A7" w:rsidRPr="00FE5001">
        <w:rPr>
          <w:rFonts w:ascii="Times New Roman" w:eastAsia="Times New Roman" w:hAnsi="Times New Roman" w:cs="Times New Roman"/>
          <w:bCs/>
          <w:i/>
          <w:lang w:val="es-ES" w:eastAsia="es-ES"/>
        </w:rPr>
        <w:t>UT</w:t>
      </w:r>
      <w:r w:rsidR="00B901C8" w:rsidRPr="00FE5001">
        <w:rPr>
          <w:rFonts w:ascii="Times New Roman" w:eastAsia="Times New Roman" w:hAnsi="Times New Roman" w:cs="Times New Roman"/>
          <w:bCs/>
          <w:i/>
          <w:lang w:val="es-ES" w:eastAsia="es-ES"/>
        </w:rPr>
        <w:t>”</w:t>
      </w:r>
      <w:r w:rsidR="00F017A7" w:rsidRPr="00FE5001">
        <w:rPr>
          <w:rFonts w:ascii="Times New Roman" w:eastAsia="Times New Roman" w:hAnsi="Times New Roman" w:cs="Times New Roman"/>
          <w:bCs/>
          <w:i/>
          <w:lang w:val="es-ES" w:eastAsia="es-ES"/>
        </w:rPr>
        <w:t xml:space="preserve">) conformada por la Sociedad y </w:t>
      </w:r>
      <w:proofErr w:type="spellStart"/>
      <w:r w:rsidR="00F017A7" w:rsidRPr="00FE5001">
        <w:rPr>
          <w:rFonts w:ascii="Times New Roman" w:eastAsia="Times New Roman" w:hAnsi="Times New Roman" w:cs="Times New Roman"/>
          <w:bCs/>
          <w:i/>
          <w:lang w:val="es-ES" w:eastAsia="es-ES"/>
        </w:rPr>
        <w:t>Cassava</w:t>
      </w:r>
      <w:proofErr w:type="spellEnd"/>
      <w:r w:rsidR="00F017A7" w:rsidRPr="00FE5001">
        <w:rPr>
          <w:rFonts w:ascii="Times New Roman" w:eastAsia="Times New Roman" w:hAnsi="Times New Roman" w:cs="Times New Roman"/>
          <w:bCs/>
          <w:i/>
          <w:lang w:val="es-ES" w:eastAsia="es-ES"/>
        </w:rPr>
        <w:t xml:space="preserve"> </w:t>
      </w:r>
      <w:proofErr w:type="spellStart"/>
      <w:r w:rsidR="00F017A7" w:rsidRPr="00FE5001">
        <w:rPr>
          <w:rFonts w:ascii="Times New Roman" w:eastAsia="Times New Roman" w:hAnsi="Times New Roman" w:cs="Times New Roman"/>
          <w:bCs/>
          <w:i/>
          <w:lang w:val="es-ES" w:eastAsia="es-ES"/>
        </w:rPr>
        <w:t>Enterprises</w:t>
      </w:r>
      <w:proofErr w:type="spellEnd"/>
      <w:r w:rsidR="00F017A7" w:rsidRPr="00FE5001">
        <w:rPr>
          <w:rFonts w:ascii="Times New Roman" w:eastAsia="Times New Roman" w:hAnsi="Times New Roman" w:cs="Times New Roman"/>
          <w:bCs/>
          <w:i/>
          <w:lang w:val="es-ES" w:eastAsia="es-ES"/>
        </w:rPr>
        <w:t xml:space="preserve"> (Gibraltar) </w:t>
      </w:r>
      <w:proofErr w:type="spellStart"/>
      <w:r w:rsidR="00F017A7" w:rsidRPr="00FE5001">
        <w:rPr>
          <w:rFonts w:ascii="Times New Roman" w:eastAsia="Times New Roman" w:hAnsi="Times New Roman" w:cs="Times New Roman"/>
          <w:bCs/>
          <w:i/>
          <w:lang w:val="es-ES" w:eastAsia="es-ES"/>
        </w:rPr>
        <w:t>Limited</w:t>
      </w:r>
      <w:proofErr w:type="spellEnd"/>
      <w:r w:rsidR="00F017A7" w:rsidRPr="00FE5001">
        <w:rPr>
          <w:rFonts w:ascii="Times New Roman" w:eastAsia="Times New Roman" w:hAnsi="Times New Roman" w:cs="Times New Roman"/>
          <w:bCs/>
          <w:i/>
          <w:lang w:val="es-ES" w:eastAsia="es-ES"/>
        </w:rPr>
        <w:t xml:space="preserve"> una de las licencias para el desarrollo de la actividad de juego bajo la modalidad online en el marco de la Ley </w:t>
      </w:r>
      <w:proofErr w:type="spellStart"/>
      <w:r w:rsidR="00F017A7" w:rsidRPr="00FE5001">
        <w:rPr>
          <w:rFonts w:ascii="Times New Roman" w:eastAsia="Times New Roman" w:hAnsi="Times New Roman" w:cs="Times New Roman"/>
          <w:bCs/>
          <w:i/>
          <w:lang w:val="es-ES" w:eastAsia="es-ES"/>
        </w:rPr>
        <w:t>Nº</w:t>
      </w:r>
      <w:proofErr w:type="spellEnd"/>
      <w:r w:rsidR="00F017A7" w:rsidRPr="00FE5001">
        <w:rPr>
          <w:rFonts w:ascii="Times New Roman" w:eastAsia="Times New Roman" w:hAnsi="Times New Roman" w:cs="Times New Roman"/>
          <w:bCs/>
          <w:i/>
          <w:lang w:val="es-ES" w:eastAsia="es-ES"/>
        </w:rPr>
        <w:t xml:space="preserve"> 15.079 (Título VIII) que regula el desarrollo de la actividad de juego bajo la modalidad online en el ámbito de la Provincia de Buenos Aires. </w:t>
      </w:r>
      <w:r w:rsidR="00B87F75" w:rsidRPr="00FE5001">
        <w:rPr>
          <w:rFonts w:ascii="Times New Roman" w:eastAsia="Times New Roman" w:hAnsi="Times New Roman" w:cs="Times New Roman"/>
          <w:bCs/>
          <w:i/>
          <w:lang w:val="es-ES" w:eastAsia="es-ES"/>
        </w:rPr>
        <w:t xml:space="preserve">Dicha </w:t>
      </w:r>
      <w:r w:rsidR="00F017A7" w:rsidRPr="00FE5001">
        <w:rPr>
          <w:rFonts w:ascii="Times New Roman" w:eastAsia="Times New Roman" w:hAnsi="Times New Roman" w:cs="Times New Roman"/>
          <w:bCs/>
          <w:i/>
          <w:lang w:val="es-ES" w:eastAsia="es-ES"/>
        </w:rPr>
        <w:t xml:space="preserve">licencia </w:t>
      </w:r>
      <w:r w:rsidR="00B87F75" w:rsidRPr="00FE5001">
        <w:rPr>
          <w:rFonts w:ascii="Times New Roman" w:eastAsia="Times New Roman" w:hAnsi="Times New Roman" w:cs="Times New Roman"/>
          <w:bCs/>
          <w:i/>
          <w:lang w:val="es-ES" w:eastAsia="es-ES"/>
        </w:rPr>
        <w:t xml:space="preserve">fue </w:t>
      </w:r>
      <w:r w:rsidR="00F017A7" w:rsidRPr="00FE5001">
        <w:rPr>
          <w:rFonts w:ascii="Times New Roman" w:eastAsia="Times New Roman" w:hAnsi="Times New Roman" w:cs="Times New Roman"/>
          <w:bCs/>
          <w:i/>
          <w:lang w:val="es-ES" w:eastAsia="es-ES"/>
        </w:rPr>
        <w:t xml:space="preserve">otorgada por el </w:t>
      </w:r>
      <w:proofErr w:type="spellStart"/>
      <w:r w:rsidR="00F017A7" w:rsidRPr="00FE5001">
        <w:rPr>
          <w:rFonts w:ascii="Times New Roman" w:eastAsia="Times New Roman" w:hAnsi="Times New Roman" w:cs="Times New Roman"/>
          <w:bCs/>
          <w:i/>
          <w:lang w:val="es-ES" w:eastAsia="es-ES"/>
        </w:rPr>
        <w:t>IPLyC</w:t>
      </w:r>
      <w:proofErr w:type="spellEnd"/>
      <w:r w:rsidR="00F017A7" w:rsidRPr="00FE5001">
        <w:rPr>
          <w:rFonts w:ascii="Times New Roman" w:eastAsia="Times New Roman" w:hAnsi="Times New Roman" w:cs="Times New Roman"/>
          <w:bCs/>
          <w:i/>
          <w:lang w:val="es-ES" w:eastAsia="es-ES"/>
        </w:rPr>
        <w:t xml:space="preserve"> por un plazo de 15 </w:t>
      </w:r>
      <w:r w:rsidR="0061643F" w:rsidRPr="00FE5001">
        <w:rPr>
          <w:rFonts w:ascii="Times New Roman" w:eastAsia="Times New Roman" w:hAnsi="Times New Roman" w:cs="Times New Roman"/>
          <w:bCs/>
          <w:i/>
          <w:lang w:val="es-ES" w:eastAsia="es-ES"/>
        </w:rPr>
        <w:t xml:space="preserve">(quince) </w:t>
      </w:r>
      <w:r w:rsidR="00F017A7" w:rsidRPr="00FE5001">
        <w:rPr>
          <w:rFonts w:ascii="Times New Roman" w:eastAsia="Times New Roman" w:hAnsi="Times New Roman" w:cs="Times New Roman"/>
          <w:bCs/>
          <w:i/>
          <w:lang w:val="es-ES" w:eastAsia="es-ES"/>
        </w:rPr>
        <w:t xml:space="preserve">años. La </w:t>
      </w:r>
      <w:r w:rsidR="00F017A7" w:rsidRPr="00FE5001">
        <w:rPr>
          <w:rFonts w:ascii="Times New Roman" w:eastAsia="Times New Roman" w:hAnsi="Times New Roman" w:cs="Times New Roman"/>
          <w:bCs/>
          <w:i/>
          <w:lang w:val="es-ES" w:eastAsia="es-ES"/>
        </w:rPr>
        <w:lastRenderedPageBreak/>
        <w:t>Sociedad participa en esta UT en un 95%.</w:t>
      </w:r>
      <w:r w:rsidR="0061643F" w:rsidRPr="00FE5001">
        <w:rPr>
          <w:rFonts w:ascii="Times New Roman" w:eastAsia="Times New Roman" w:hAnsi="Times New Roman" w:cs="Times New Roman"/>
          <w:bCs/>
          <w:i/>
          <w:lang w:val="es-ES" w:eastAsia="es-ES"/>
        </w:rPr>
        <w:t xml:space="preserve"> </w:t>
      </w:r>
      <w:bookmarkStart w:id="7" w:name="_Hlk92391206"/>
      <w:r w:rsidR="0061643F" w:rsidRPr="00FE5001">
        <w:rPr>
          <w:rFonts w:ascii="Times New Roman" w:eastAsia="Times New Roman" w:hAnsi="Times New Roman" w:cs="Times New Roman"/>
          <w:bCs/>
          <w:i/>
          <w:lang w:val="es-ES" w:eastAsia="es-ES"/>
        </w:rPr>
        <w:t>Actualmente estamos trabajando en la puesta en marcha de este proyecto.</w:t>
      </w:r>
      <w:bookmarkEnd w:id="7"/>
    </w:p>
    <w:p w14:paraId="31B365C8"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2B794F3E" w14:textId="0A0010C0" w:rsidR="00617D65"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 xml:space="preserve">El otorgamiento de </w:t>
      </w:r>
      <w:r w:rsidR="00F017A7" w:rsidRPr="00FE5001">
        <w:rPr>
          <w:rFonts w:ascii="Times New Roman" w:eastAsia="Times New Roman" w:hAnsi="Times New Roman" w:cs="Times New Roman"/>
          <w:bCs/>
          <w:i/>
          <w:lang w:val="es-ES" w:eastAsia="es-ES"/>
        </w:rPr>
        <w:t xml:space="preserve">ambas </w:t>
      </w:r>
      <w:r w:rsidRPr="00FE5001">
        <w:rPr>
          <w:rFonts w:ascii="Times New Roman" w:eastAsia="Times New Roman" w:hAnsi="Times New Roman" w:cs="Times New Roman"/>
          <w:bCs/>
          <w:i/>
          <w:lang w:val="es-ES" w:eastAsia="es-ES"/>
        </w:rPr>
        <w:t>licencia</w:t>
      </w:r>
      <w:r w:rsidR="00F017A7" w:rsidRPr="00FE5001">
        <w:rPr>
          <w:rFonts w:ascii="Times New Roman" w:eastAsia="Times New Roman" w:hAnsi="Times New Roman" w:cs="Times New Roman"/>
          <w:bCs/>
          <w:i/>
          <w:lang w:val="es-ES" w:eastAsia="es-ES"/>
        </w:rPr>
        <w:t>s en dos de los más importantes distritos de Argentina</w:t>
      </w:r>
      <w:r w:rsidRPr="00FE5001">
        <w:rPr>
          <w:rFonts w:ascii="Times New Roman" w:eastAsia="Times New Roman" w:hAnsi="Times New Roman" w:cs="Times New Roman"/>
          <w:bCs/>
          <w:i/>
          <w:lang w:val="es-ES" w:eastAsia="es-ES"/>
        </w:rPr>
        <w:t xml:space="preserve"> marca un hito muy importante en nuestra consolidación en este nuevo segmento de juego online en la República Argentina. </w:t>
      </w:r>
    </w:p>
    <w:p w14:paraId="22F6A79C"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51208123" w14:textId="60E6D528" w:rsidR="00617D65"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r>
      <w:r w:rsidR="0026783E" w:rsidRPr="00FE5001">
        <w:rPr>
          <w:rFonts w:ascii="Times New Roman" w:eastAsia="Times New Roman" w:hAnsi="Times New Roman" w:cs="Times New Roman"/>
          <w:bCs/>
          <w:i/>
          <w:lang w:val="es-ES" w:eastAsia="es-ES"/>
        </w:rPr>
        <w:t xml:space="preserve">En mayo 2020 mediante la notificación 385/2020 de </w:t>
      </w:r>
      <w:r w:rsidR="002E0733" w:rsidRPr="008E7002">
        <w:rPr>
          <w:rFonts w:ascii="Times New Roman" w:eastAsia="Times New Roman" w:hAnsi="Times New Roman" w:cs="Times New Roman"/>
          <w:bCs/>
          <w:i/>
          <w:lang w:val="es-ES" w:eastAsia="es-ES"/>
        </w:rPr>
        <w:t>Comisión Nacional de Juegos de Azar de la República del Paraguay (“</w:t>
      </w:r>
      <w:r w:rsidR="0026783E" w:rsidRPr="00FE5001">
        <w:rPr>
          <w:rFonts w:ascii="Times New Roman" w:eastAsia="Times New Roman" w:hAnsi="Times New Roman" w:cs="Times New Roman"/>
          <w:bCs/>
          <w:i/>
          <w:lang w:val="es-ES" w:eastAsia="es-ES"/>
        </w:rPr>
        <w:t>CONAJZAR</w:t>
      </w:r>
      <w:r w:rsidR="002E0733" w:rsidRPr="00FE5001">
        <w:rPr>
          <w:rFonts w:ascii="Times New Roman" w:eastAsia="Times New Roman" w:hAnsi="Times New Roman" w:cs="Times New Roman"/>
          <w:bCs/>
          <w:i/>
          <w:lang w:val="es-ES" w:eastAsia="es-ES"/>
        </w:rPr>
        <w:t>”)</w:t>
      </w:r>
      <w:r w:rsidR="0026783E" w:rsidRPr="00FE5001">
        <w:rPr>
          <w:rFonts w:ascii="Times New Roman" w:eastAsia="Times New Roman" w:hAnsi="Times New Roman" w:cs="Times New Roman"/>
          <w:bCs/>
          <w:i/>
          <w:lang w:val="es-ES" w:eastAsia="es-ES"/>
        </w:rPr>
        <w:t xml:space="preserve"> se autorizó a el Casino 7 Saltos S.A. </w:t>
      </w:r>
      <w:r w:rsidRPr="00FE5001">
        <w:rPr>
          <w:rFonts w:ascii="Times New Roman" w:eastAsia="Times New Roman" w:hAnsi="Times New Roman" w:cs="Times New Roman"/>
          <w:bCs/>
          <w:i/>
          <w:lang w:val="es-ES" w:eastAsia="es-ES"/>
        </w:rPr>
        <w:t>la explotación de la nueva modalidad Casino On-Line</w:t>
      </w:r>
      <w:r w:rsidR="0026783E" w:rsidRPr="00FE5001">
        <w:rPr>
          <w:rFonts w:ascii="Times New Roman" w:eastAsia="Times New Roman" w:hAnsi="Times New Roman" w:cs="Times New Roman"/>
          <w:bCs/>
          <w:i/>
          <w:lang w:val="es-ES" w:eastAsia="es-ES"/>
        </w:rPr>
        <w:t>. D</w:t>
      </w:r>
      <w:r w:rsidRPr="00FE5001">
        <w:rPr>
          <w:rFonts w:ascii="Times New Roman" w:eastAsia="Times New Roman" w:hAnsi="Times New Roman" w:cs="Times New Roman"/>
          <w:bCs/>
          <w:i/>
          <w:lang w:val="es-ES" w:eastAsia="es-ES"/>
        </w:rPr>
        <w:t xml:space="preserve">esde noviembre de 2020 Boldt está actuando como integrador de la plataforma de juego provista por un proveedor internacional y explotador a su vez con la participación que posee en </w:t>
      </w:r>
      <w:r w:rsidR="0061643F" w:rsidRPr="00FE5001">
        <w:rPr>
          <w:rFonts w:ascii="Times New Roman" w:eastAsia="Times New Roman" w:hAnsi="Times New Roman" w:cs="Times New Roman"/>
          <w:bCs/>
          <w:i/>
          <w:lang w:val="es-ES" w:eastAsia="es-ES"/>
        </w:rPr>
        <w:t>dicha sociedad</w:t>
      </w:r>
      <w:r w:rsidRPr="00FE5001">
        <w:rPr>
          <w:rFonts w:ascii="Times New Roman" w:eastAsia="Times New Roman" w:hAnsi="Times New Roman" w:cs="Times New Roman"/>
          <w:bCs/>
          <w:i/>
          <w:lang w:val="es-ES" w:eastAsia="es-ES"/>
        </w:rPr>
        <w:t>. A la fecha se encuentra en plena operación activando sus campañas de promoción y marketing.</w:t>
      </w:r>
    </w:p>
    <w:p w14:paraId="4084A245"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10E77BAF" w14:textId="0D11B6C9" w:rsidR="00617D65"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t xml:space="preserve">En la provincia de Santa Fe por decreto de la Gobernación Nro. 0998 de fecha 21 de septiembre de 2020 </w:t>
      </w:r>
      <w:r w:rsidR="0026783E" w:rsidRPr="00FE5001">
        <w:rPr>
          <w:rFonts w:ascii="Times New Roman" w:eastAsia="Times New Roman" w:hAnsi="Times New Roman" w:cs="Times New Roman"/>
          <w:bCs/>
          <w:i/>
          <w:lang w:val="es-ES" w:eastAsia="es-ES"/>
        </w:rPr>
        <w:t xml:space="preserve">se </w:t>
      </w:r>
      <w:r w:rsidRPr="00FE5001">
        <w:rPr>
          <w:rFonts w:ascii="Times New Roman" w:eastAsia="Times New Roman" w:hAnsi="Times New Roman" w:cs="Times New Roman"/>
          <w:bCs/>
          <w:i/>
          <w:lang w:val="es-ES" w:eastAsia="es-ES"/>
        </w:rPr>
        <w:t>aprob</w:t>
      </w:r>
      <w:r w:rsidR="0026783E" w:rsidRPr="00FE5001">
        <w:rPr>
          <w:rFonts w:ascii="Times New Roman" w:eastAsia="Times New Roman" w:hAnsi="Times New Roman" w:cs="Times New Roman"/>
          <w:bCs/>
          <w:i/>
          <w:lang w:val="es-ES" w:eastAsia="es-ES"/>
        </w:rPr>
        <w:t>aron</w:t>
      </w:r>
      <w:r w:rsidRPr="00FE5001">
        <w:rPr>
          <w:rFonts w:ascii="Times New Roman" w:eastAsia="Times New Roman" w:hAnsi="Times New Roman" w:cs="Times New Roman"/>
          <w:bCs/>
          <w:i/>
          <w:lang w:val="es-ES" w:eastAsia="es-ES"/>
        </w:rPr>
        <w:t xml:space="preserve"> las Resoluciones de Vicepresidencia Ejecutiva de la Caja de Asistencia Social -Lotería de Santa Fe- </w:t>
      </w:r>
      <w:proofErr w:type="spellStart"/>
      <w:r w:rsidRPr="00FE5001">
        <w:rPr>
          <w:rFonts w:ascii="Times New Roman" w:eastAsia="Times New Roman" w:hAnsi="Times New Roman" w:cs="Times New Roman"/>
          <w:bCs/>
          <w:i/>
          <w:lang w:val="es-ES" w:eastAsia="es-ES"/>
        </w:rPr>
        <w:t>Nros</w:t>
      </w:r>
      <w:proofErr w:type="spellEnd"/>
      <w:r w:rsidRPr="00FE5001">
        <w:rPr>
          <w:rFonts w:ascii="Times New Roman" w:eastAsia="Times New Roman" w:hAnsi="Times New Roman" w:cs="Times New Roman"/>
          <w:bCs/>
          <w:i/>
          <w:lang w:val="es-ES" w:eastAsia="es-ES"/>
        </w:rPr>
        <w:t>. 163 y 165, ambas de fecha 11 de septiembre de 2020, mediante las cuales se autorizó a Casino Puerto Santa Fe S.A y Casino Melincué S.A -respectivamente- a instrumentar, implementar, operar y explotar los juegos de azar a través de la modalidad complementaria denominada on-line o virtual por todo el plazo que duren las correspondientes concesiones de las que son titulares. En este momento Casino Puerto Santa Fe S.A. y Casino Melincué S.A. como titulares licenciatarios de juego se encuentran trabajando en la incorporación de clientes, y en dar publicidad y visibilidad a la plataforma</w:t>
      </w:r>
      <w:r w:rsidR="0026783E" w:rsidRPr="00FE5001">
        <w:rPr>
          <w:rFonts w:ascii="Times New Roman" w:eastAsia="Times New Roman" w:hAnsi="Times New Roman" w:cs="Times New Roman"/>
          <w:bCs/>
          <w:i/>
          <w:lang w:val="es-ES" w:eastAsia="es-ES"/>
        </w:rPr>
        <w:t>. A la fecha de la presente B</w:t>
      </w:r>
      <w:r w:rsidRPr="00FE5001">
        <w:rPr>
          <w:rFonts w:ascii="Times New Roman" w:eastAsia="Times New Roman" w:hAnsi="Times New Roman" w:cs="Times New Roman"/>
          <w:bCs/>
          <w:i/>
          <w:lang w:val="es-ES" w:eastAsia="es-ES"/>
        </w:rPr>
        <w:t xml:space="preserve">oldt opera como integrador de dicha plataforma y a su vez explotador con la participación que posee en dichos casinos. </w:t>
      </w:r>
    </w:p>
    <w:p w14:paraId="195B8BB7"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53E6216A" w14:textId="41409FF2" w:rsidR="00617D65" w:rsidRPr="00FE5001" w:rsidRDefault="00617D65" w:rsidP="008E7002">
      <w:pPr>
        <w:spacing w:after="0" w:line="240" w:lineRule="auto"/>
        <w:jc w:val="both"/>
        <w:rPr>
          <w:rFonts w:ascii="Times New Roman" w:eastAsia="Times New Roman" w:hAnsi="Times New Roman" w:cs="Times New Roman"/>
          <w:bCs/>
          <w:i/>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t xml:space="preserve">Cabe mencionar que mientras la explotación de juego on-line será llevada a cabo por los licenciatarios de las adjudicaciones de cada provincia </w:t>
      </w:r>
      <w:r w:rsidR="00444856">
        <w:rPr>
          <w:rFonts w:ascii="Times New Roman" w:eastAsia="Times New Roman" w:hAnsi="Times New Roman" w:cs="Times New Roman"/>
          <w:bCs/>
          <w:i/>
          <w:lang w:val="es-ES" w:eastAsia="es-ES"/>
        </w:rPr>
        <w:t xml:space="preserve">o distrito </w:t>
      </w:r>
      <w:r w:rsidRPr="00FE5001">
        <w:rPr>
          <w:rFonts w:ascii="Times New Roman" w:eastAsia="Times New Roman" w:hAnsi="Times New Roman" w:cs="Times New Roman"/>
          <w:bCs/>
          <w:i/>
          <w:lang w:val="es-ES" w:eastAsia="es-ES"/>
        </w:rPr>
        <w:t xml:space="preserve">en cada país (Santa Fe, Provincia de Buenos Aires, Ciudad </w:t>
      </w:r>
      <w:r w:rsidR="0061643F" w:rsidRPr="00FE5001">
        <w:rPr>
          <w:rFonts w:ascii="Times New Roman" w:eastAsia="Times New Roman" w:hAnsi="Times New Roman" w:cs="Times New Roman"/>
          <w:bCs/>
          <w:i/>
          <w:lang w:val="es-ES" w:eastAsia="es-ES"/>
        </w:rPr>
        <w:t xml:space="preserve">Autónoma </w:t>
      </w:r>
      <w:r w:rsidRPr="00FE5001">
        <w:rPr>
          <w:rFonts w:ascii="Times New Roman" w:eastAsia="Times New Roman" w:hAnsi="Times New Roman" w:cs="Times New Roman"/>
          <w:bCs/>
          <w:i/>
          <w:lang w:val="es-ES" w:eastAsia="es-ES"/>
        </w:rPr>
        <w:t xml:space="preserve">de Buenos Aires, Paraguay antes mencionados), </w:t>
      </w:r>
      <w:r w:rsidR="00444856">
        <w:rPr>
          <w:rFonts w:ascii="Times New Roman" w:eastAsia="Times New Roman" w:hAnsi="Times New Roman" w:cs="Times New Roman"/>
          <w:bCs/>
          <w:i/>
          <w:lang w:val="es-ES" w:eastAsia="es-ES"/>
        </w:rPr>
        <w:t>Boldt</w:t>
      </w:r>
      <w:r w:rsidRPr="00FE5001">
        <w:rPr>
          <w:rFonts w:ascii="Times New Roman" w:eastAsia="Times New Roman" w:hAnsi="Times New Roman" w:cs="Times New Roman"/>
          <w:bCs/>
          <w:i/>
          <w:lang w:val="es-ES" w:eastAsia="es-ES"/>
        </w:rPr>
        <w:t xml:space="preserve"> será</w:t>
      </w:r>
      <w:r w:rsidR="00444856">
        <w:rPr>
          <w:rFonts w:ascii="Times New Roman" w:eastAsia="Times New Roman" w:hAnsi="Times New Roman" w:cs="Times New Roman"/>
          <w:bCs/>
          <w:i/>
          <w:lang w:val="es-ES" w:eastAsia="es-ES"/>
        </w:rPr>
        <w:t xml:space="preserve"> prestador del servicio de manera integral</w:t>
      </w:r>
      <w:r w:rsidRPr="00FE5001">
        <w:rPr>
          <w:rFonts w:ascii="Times New Roman" w:eastAsia="Times New Roman" w:hAnsi="Times New Roman" w:cs="Times New Roman"/>
          <w:bCs/>
          <w:i/>
          <w:lang w:val="es-ES" w:eastAsia="es-ES"/>
        </w:rPr>
        <w:t xml:space="preserve"> y genera</w:t>
      </w:r>
      <w:r w:rsidR="00444856">
        <w:rPr>
          <w:rFonts w:ascii="Times New Roman" w:eastAsia="Times New Roman" w:hAnsi="Times New Roman" w:cs="Times New Roman"/>
          <w:bCs/>
          <w:i/>
          <w:lang w:val="es-ES" w:eastAsia="es-ES"/>
        </w:rPr>
        <w:t>n</w:t>
      </w:r>
      <w:r w:rsidRPr="00FE5001">
        <w:rPr>
          <w:rFonts w:ascii="Times New Roman" w:eastAsia="Times New Roman" w:hAnsi="Times New Roman" w:cs="Times New Roman"/>
          <w:bCs/>
          <w:i/>
          <w:lang w:val="es-ES" w:eastAsia="es-ES"/>
        </w:rPr>
        <w:t>do diferentes alianzas con proveedores de juego on-line bajo la misma plataforma funcional a las empresas adjudica</w:t>
      </w:r>
      <w:r w:rsidR="00760B8C" w:rsidRPr="00FE5001">
        <w:rPr>
          <w:rFonts w:ascii="Times New Roman" w:eastAsia="Times New Roman" w:hAnsi="Times New Roman" w:cs="Times New Roman"/>
          <w:bCs/>
          <w:i/>
          <w:lang w:val="es-ES" w:eastAsia="es-ES"/>
        </w:rPr>
        <w:t>tari</w:t>
      </w:r>
      <w:r w:rsidRPr="00FE5001">
        <w:rPr>
          <w:rFonts w:ascii="Times New Roman" w:eastAsia="Times New Roman" w:hAnsi="Times New Roman" w:cs="Times New Roman"/>
          <w:bCs/>
          <w:i/>
          <w:lang w:val="es-ES" w:eastAsia="es-ES"/>
        </w:rPr>
        <w:t>as</w:t>
      </w:r>
      <w:r w:rsidR="00760B8C" w:rsidRPr="00FE5001">
        <w:rPr>
          <w:rFonts w:ascii="Times New Roman" w:eastAsia="Times New Roman" w:hAnsi="Times New Roman" w:cs="Times New Roman"/>
          <w:bCs/>
          <w:i/>
          <w:lang w:val="es-ES" w:eastAsia="es-ES"/>
        </w:rPr>
        <w:t xml:space="preserve"> de las licencias</w:t>
      </w:r>
      <w:r w:rsidR="002C574F" w:rsidRPr="00FE5001">
        <w:rPr>
          <w:rFonts w:ascii="Times New Roman" w:eastAsia="Times New Roman" w:hAnsi="Times New Roman" w:cs="Times New Roman"/>
          <w:bCs/>
          <w:i/>
          <w:lang w:val="es-ES" w:eastAsia="es-ES"/>
        </w:rPr>
        <w:t xml:space="preserve"> pudiendo en el futuro participar en nuevos distritos y ciudades acorde a las credenciales con que contamos</w:t>
      </w:r>
      <w:r w:rsidRPr="00FE5001">
        <w:rPr>
          <w:rFonts w:ascii="Times New Roman" w:eastAsia="Times New Roman" w:hAnsi="Times New Roman" w:cs="Times New Roman"/>
          <w:bCs/>
          <w:i/>
          <w:lang w:val="es-ES" w:eastAsia="es-ES"/>
        </w:rPr>
        <w:t xml:space="preserve">. A su vez hemos desarrollado el producto de </w:t>
      </w:r>
      <w:r w:rsidR="00760B8C" w:rsidRPr="00FE5001">
        <w:rPr>
          <w:rFonts w:ascii="Times New Roman" w:eastAsia="Times New Roman" w:hAnsi="Times New Roman" w:cs="Times New Roman"/>
          <w:bCs/>
          <w:i/>
          <w:lang w:val="es-ES" w:eastAsia="es-ES"/>
        </w:rPr>
        <w:t>apuestas deportivas</w:t>
      </w:r>
      <w:r w:rsidRPr="00FE5001">
        <w:rPr>
          <w:rFonts w:ascii="Times New Roman" w:eastAsia="Times New Roman" w:hAnsi="Times New Roman" w:cs="Times New Roman"/>
          <w:bCs/>
          <w:i/>
          <w:lang w:val="es-ES" w:eastAsia="es-ES"/>
        </w:rPr>
        <w:t xml:space="preserve">, ampliando considerablemente la oferta para el juego online, el cual potenciará </w:t>
      </w:r>
      <w:r w:rsidR="002C574F" w:rsidRPr="00FE5001">
        <w:rPr>
          <w:rFonts w:ascii="Times New Roman" w:eastAsia="Times New Roman" w:hAnsi="Times New Roman" w:cs="Times New Roman"/>
          <w:bCs/>
          <w:i/>
          <w:lang w:val="es-ES" w:eastAsia="es-ES"/>
        </w:rPr>
        <w:t xml:space="preserve">también </w:t>
      </w:r>
      <w:r w:rsidRPr="00FE5001">
        <w:rPr>
          <w:rFonts w:ascii="Times New Roman" w:eastAsia="Times New Roman" w:hAnsi="Times New Roman" w:cs="Times New Roman"/>
          <w:bCs/>
          <w:i/>
          <w:lang w:val="es-ES" w:eastAsia="es-ES"/>
        </w:rPr>
        <w:t xml:space="preserve">la actividad de los casinos existentes </w:t>
      </w:r>
      <w:proofErr w:type="spellStart"/>
      <w:r w:rsidRPr="00FE5001">
        <w:rPr>
          <w:rFonts w:ascii="Times New Roman" w:eastAsia="Times New Roman" w:hAnsi="Times New Roman" w:cs="Times New Roman"/>
          <w:bCs/>
          <w:i/>
          <w:lang w:val="es-ES" w:eastAsia="es-ES"/>
        </w:rPr>
        <w:t>land-based</w:t>
      </w:r>
      <w:proofErr w:type="spellEnd"/>
      <w:r w:rsidRPr="00FE5001">
        <w:rPr>
          <w:rFonts w:ascii="Times New Roman" w:eastAsia="Times New Roman" w:hAnsi="Times New Roman" w:cs="Times New Roman"/>
          <w:bCs/>
          <w:i/>
          <w:lang w:val="es-ES" w:eastAsia="es-ES"/>
        </w:rPr>
        <w:t>.</w:t>
      </w:r>
    </w:p>
    <w:p w14:paraId="0F552951" w14:textId="77777777" w:rsidR="008E7002" w:rsidRPr="00FE5001" w:rsidRDefault="008E7002" w:rsidP="00FE5001">
      <w:pPr>
        <w:spacing w:after="0" w:line="240" w:lineRule="auto"/>
        <w:jc w:val="both"/>
        <w:rPr>
          <w:rFonts w:ascii="Times New Roman" w:eastAsia="Times New Roman" w:hAnsi="Times New Roman" w:cs="Times New Roman"/>
          <w:bCs/>
          <w:i/>
          <w:lang w:val="es-ES" w:eastAsia="es-ES"/>
        </w:rPr>
      </w:pPr>
    </w:p>
    <w:p w14:paraId="59A93F92" w14:textId="5184AED2" w:rsidR="00617D65" w:rsidRPr="00FE5001" w:rsidRDefault="00617D65" w:rsidP="00FE5001">
      <w:pPr>
        <w:spacing w:after="0" w:line="240" w:lineRule="auto"/>
        <w:jc w:val="both"/>
        <w:rPr>
          <w:rFonts w:ascii="Times New Roman" w:eastAsia="Times New Roman" w:hAnsi="Times New Roman" w:cs="Times New Roman"/>
          <w:bCs/>
          <w:i/>
          <w:highlight w:val="yellow"/>
          <w:lang w:val="es-ES" w:eastAsia="es-ES"/>
        </w:rPr>
      </w:pPr>
      <w:r w:rsidRPr="00FE5001">
        <w:rPr>
          <w:rFonts w:ascii="Times New Roman" w:eastAsia="Times New Roman" w:hAnsi="Times New Roman" w:cs="Times New Roman"/>
          <w:bCs/>
          <w:i/>
          <w:lang w:val="es-ES" w:eastAsia="es-ES"/>
        </w:rPr>
        <w:t>•</w:t>
      </w:r>
      <w:r w:rsidRPr="00FE5001">
        <w:rPr>
          <w:rFonts w:ascii="Times New Roman" w:eastAsia="Times New Roman" w:hAnsi="Times New Roman" w:cs="Times New Roman"/>
          <w:bCs/>
          <w:i/>
          <w:lang w:val="es-ES" w:eastAsia="es-ES"/>
        </w:rPr>
        <w:tab/>
        <w:t xml:space="preserve">Actualmente el desarrollo de la marca </w:t>
      </w:r>
      <w:proofErr w:type="spellStart"/>
      <w:r w:rsidRPr="00FE5001">
        <w:rPr>
          <w:rFonts w:ascii="Times New Roman" w:eastAsia="Times New Roman" w:hAnsi="Times New Roman" w:cs="Times New Roman"/>
          <w:bCs/>
          <w:i/>
          <w:lang w:val="es-ES" w:eastAsia="es-ES"/>
        </w:rPr>
        <w:t>bplay</w:t>
      </w:r>
      <w:proofErr w:type="spellEnd"/>
      <w:r w:rsidRPr="00FE5001">
        <w:rPr>
          <w:rFonts w:ascii="Times New Roman" w:eastAsia="Times New Roman" w:hAnsi="Times New Roman" w:cs="Times New Roman"/>
          <w:bCs/>
          <w:i/>
          <w:lang w:val="es-ES" w:eastAsia="es-ES"/>
        </w:rPr>
        <w:t xml:space="preserve"> está promocionándose fuertemente para darse a conocer a través de una campaña de marketing digital la que, entre otros, involucra publicidad en eventos deportivos de magnitud tales como nuestra participación en cartelería de las eliminatorias del mundial Qatar 2022 y </w:t>
      </w:r>
      <w:r w:rsidR="00444856">
        <w:rPr>
          <w:rFonts w:ascii="Times New Roman" w:eastAsia="Times New Roman" w:hAnsi="Times New Roman" w:cs="Times New Roman"/>
          <w:bCs/>
          <w:i/>
          <w:lang w:val="es-ES" w:eastAsia="es-ES"/>
        </w:rPr>
        <w:t xml:space="preserve">siendo </w:t>
      </w:r>
      <w:proofErr w:type="spellStart"/>
      <w:r w:rsidR="00444856">
        <w:rPr>
          <w:rFonts w:ascii="Times New Roman" w:eastAsia="Times New Roman" w:hAnsi="Times New Roman" w:cs="Times New Roman"/>
          <w:bCs/>
          <w:i/>
          <w:lang w:val="es-ES" w:eastAsia="es-ES"/>
        </w:rPr>
        <w:t>mai</w:t>
      </w:r>
      <w:proofErr w:type="spellEnd"/>
      <w:r w:rsidR="00444856">
        <w:rPr>
          <w:rFonts w:ascii="Times New Roman" w:eastAsia="Times New Roman" w:hAnsi="Times New Roman" w:cs="Times New Roman"/>
          <w:bCs/>
          <w:i/>
          <w:lang w:val="es-ES" w:eastAsia="es-ES"/>
        </w:rPr>
        <w:t xml:space="preserve"> </w:t>
      </w:r>
      <w:proofErr w:type="gramStart"/>
      <w:r w:rsidR="00444856">
        <w:rPr>
          <w:rFonts w:ascii="Times New Roman" w:eastAsia="Times New Roman" w:hAnsi="Times New Roman" w:cs="Times New Roman"/>
          <w:bCs/>
          <w:i/>
          <w:lang w:val="es-ES" w:eastAsia="es-ES"/>
        </w:rPr>
        <w:t>sponsor</w:t>
      </w:r>
      <w:proofErr w:type="gramEnd"/>
      <w:r w:rsidR="00444856">
        <w:rPr>
          <w:rFonts w:ascii="Times New Roman" w:eastAsia="Times New Roman" w:hAnsi="Times New Roman" w:cs="Times New Roman"/>
          <w:bCs/>
          <w:i/>
          <w:lang w:val="es-ES" w:eastAsia="es-ES"/>
        </w:rPr>
        <w:t xml:space="preserve"> de los clubes de fútbol </w:t>
      </w:r>
      <w:r w:rsidR="00EE7DD2" w:rsidRPr="00FE5001">
        <w:rPr>
          <w:rFonts w:ascii="Times New Roman" w:eastAsia="Times New Roman" w:hAnsi="Times New Roman" w:cs="Times New Roman"/>
          <w:bCs/>
          <w:i/>
          <w:lang w:val="es-ES" w:eastAsia="es-ES"/>
        </w:rPr>
        <w:t>y con posterioridad al cierre del presente ejercicio con el equipo de básquet profesional del Club Atlético San Lorenzo de Almagro</w:t>
      </w:r>
      <w:r w:rsidRPr="00FE5001">
        <w:rPr>
          <w:rFonts w:ascii="Times New Roman" w:eastAsia="Times New Roman" w:hAnsi="Times New Roman" w:cs="Times New Roman"/>
          <w:bCs/>
          <w:i/>
          <w:lang w:val="es-ES" w:eastAsia="es-ES"/>
        </w:rPr>
        <w:t xml:space="preserve">. En cuanto a publicidad en estadios deportivos, una de sus compañías vinculadas acordó publicitar la marca </w:t>
      </w:r>
      <w:proofErr w:type="spellStart"/>
      <w:r w:rsidRPr="00FE5001">
        <w:rPr>
          <w:rFonts w:ascii="Times New Roman" w:eastAsia="Times New Roman" w:hAnsi="Times New Roman" w:cs="Times New Roman"/>
          <w:bCs/>
          <w:i/>
          <w:lang w:val="es-ES" w:eastAsia="es-ES"/>
        </w:rPr>
        <w:t>bplay</w:t>
      </w:r>
      <w:proofErr w:type="spellEnd"/>
      <w:r w:rsidRPr="00FE5001">
        <w:rPr>
          <w:rFonts w:ascii="Times New Roman" w:eastAsia="Times New Roman" w:hAnsi="Times New Roman" w:cs="Times New Roman"/>
          <w:bCs/>
          <w:i/>
          <w:lang w:val="es-ES" w:eastAsia="es-ES"/>
        </w:rPr>
        <w:t xml:space="preserve"> en el estadio del Club Unión de Santa Fe</w:t>
      </w:r>
      <w:r w:rsidR="002C574F" w:rsidRPr="00FE5001">
        <w:rPr>
          <w:rFonts w:ascii="Times New Roman" w:eastAsia="Times New Roman" w:hAnsi="Times New Roman" w:cs="Times New Roman"/>
          <w:bCs/>
          <w:i/>
          <w:lang w:val="es-ES" w:eastAsia="es-ES"/>
        </w:rPr>
        <w:t xml:space="preserve"> además de múltiple publicidad estática en la vía pública.</w:t>
      </w:r>
    </w:p>
    <w:p w14:paraId="1C0D5F2E" w14:textId="77777777" w:rsidR="00EE7DD2" w:rsidRPr="00FE5001" w:rsidRDefault="00EE7DD2" w:rsidP="008E7002">
      <w:pPr>
        <w:spacing w:after="0" w:line="240" w:lineRule="auto"/>
        <w:jc w:val="both"/>
        <w:rPr>
          <w:rFonts w:ascii="Times New Roman" w:eastAsia="Times New Roman" w:hAnsi="Times New Roman" w:cs="Times New Roman"/>
          <w:bCs/>
          <w:i/>
          <w:lang w:val="es-ES" w:eastAsia="es-ES"/>
        </w:rPr>
      </w:pPr>
    </w:p>
    <w:p w14:paraId="0CC477C6" w14:textId="6A33A220" w:rsidR="001560C6" w:rsidRPr="00FE5001" w:rsidRDefault="001560C6"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Telecomunicaciones</w:t>
      </w:r>
    </w:p>
    <w:p w14:paraId="2D6065AE" w14:textId="6629865F" w:rsidR="001560C6" w:rsidRPr="00FE5001" w:rsidRDefault="001560C6" w:rsidP="008E7002">
      <w:pPr>
        <w:spacing w:after="0" w:line="240" w:lineRule="auto"/>
        <w:jc w:val="both"/>
        <w:rPr>
          <w:rFonts w:ascii="Times New Roman" w:eastAsia="Times New Roman" w:hAnsi="Times New Roman" w:cs="Times New Roman"/>
          <w:b/>
          <w:i/>
          <w:lang w:val="es-ES" w:eastAsia="es-ES"/>
        </w:rPr>
      </w:pPr>
    </w:p>
    <w:p w14:paraId="2423FA1D" w14:textId="0EB2EBAA" w:rsidR="00DD1808" w:rsidRPr="00FE5001" w:rsidRDefault="001560C6" w:rsidP="00FE5001">
      <w:pPr>
        <w:spacing w:after="0" w:line="240" w:lineRule="auto"/>
        <w:jc w:val="both"/>
        <w:rPr>
          <w:rFonts w:ascii="Times New Roman" w:hAnsi="Times New Roman" w:cs="Times New Roman"/>
          <w:i/>
          <w:iCs/>
        </w:rPr>
      </w:pPr>
      <w:bookmarkStart w:id="8" w:name="_Hlk92391409"/>
      <w:r w:rsidRPr="00FE5001">
        <w:rPr>
          <w:rFonts w:ascii="Times New Roman" w:hAnsi="Times New Roman" w:cs="Times New Roman"/>
          <w:b/>
          <w:i/>
          <w:iCs/>
        </w:rPr>
        <w:t>ORBITH SA</w:t>
      </w:r>
      <w:r w:rsidR="00DD1808" w:rsidRPr="00FE5001">
        <w:rPr>
          <w:rFonts w:ascii="Times New Roman" w:hAnsi="Times New Roman" w:cs="Times New Roman"/>
          <w:b/>
          <w:i/>
          <w:iCs/>
        </w:rPr>
        <w:t xml:space="preserve"> (“</w:t>
      </w:r>
      <w:proofErr w:type="spellStart"/>
      <w:r w:rsidR="00DD1808" w:rsidRPr="00FE5001">
        <w:rPr>
          <w:rFonts w:ascii="Times New Roman" w:hAnsi="Times New Roman" w:cs="Times New Roman"/>
          <w:b/>
          <w:i/>
          <w:iCs/>
        </w:rPr>
        <w:t>Orbith</w:t>
      </w:r>
      <w:proofErr w:type="spellEnd"/>
      <w:r w:rsidR="00DD1808" w:rsidRPr="00FE5001">
        <w:rPr>
          <w:rFonts w:ascii="Times New Roman" w:hAnsi="Times New Roman" w:cs="Times New Roman"/>
          <w:b/>
          <w:i/>
          <w:iCs/>
        </w:rPr>
        <w:t>”)</w:t>
      </w:r>
      <w:r w:rsidRPr="00FE5001">
        <w:rPr>
          <w:rFonts w:ascii="Times New Roman" w:hAnsi="Times New Roman" w:cs="Times New Roman"/>
          <w:i/>
          <w:iCs/>
        </w:rPr>
        <w:t xml:space="preserve">. </w:t>
      </w:r>
    </w:p>
    <w:bookmarkEnd w:id="8"/>
    <w:p w14:paraId="24CDD401" w14:textId="77777777" w:rsidR="00B117F5" w:rsidRPr="00FE5001" w:rsidRDefault="00B117F5" w:rsidP="008E7002">
      <w:pPr>
        <w:spacing w:after="0" w:line="240" w:lineRule="auto"/>
        <w:jc w:val="both"/>
        <w:rPr>
          <w:rFonts w:ascii="Times New Roman" w:hAnsi="Times New Roman" w:cs="Times New Roman"/>
          <w:i/>
          <w:iCs/>
        </w:rPr>
      </w:pPr>
    </w:p>
    <w:p w14:paraId="57AD93B6" w14:textId="5E43D8A8" w:rsidR="001560C6" w:rsidRPr="00FE5001" w:rsidRDefault="001560C6" w:rsidP="008E7002">
      <w:pPr>
        <w:spacing w:after="0" w:line="240" w:lineRule="auto"/>
        <w:jc w:val="both"/>
        <w:rPr>
          <w:rFonts w:ascii="Times New Roman" w:hAnsi="Times New Roman" w:cs="Times New Roman"/>
          <w:i/>
          <w:iCs/>
        </w:rPr>
      </w:pPr>
      <w:proofErr w:type="spellStart"/>
      <w:r w:rsidRPr="00FE5001">
        <w:rPr>
          <w:rFonts w:ascii="Times New Roman" w:hAnsi="Times New Roman" w:cs="Times New Roman"/>
          <w:i/>
          <w:iCs/>
        </w:rPr>
        <w:t>Orbith</w:t>
      </w:r>
      <w:proofErr w:type="spellEnd"/>
      <w:r w:rsidRPr="00FE5001">
        <w:rPr>
          <w:rFonts w:ascii="Times New Roman" w:hAnsi="Times New Roman" w:cs="Times New Roman"/>
          <w:i/>
          <w:iCs/>
        </w:rPr>
        <w:t xml:space="preserve"> es actualmente la única compañía del país que provee servicios satelitales de alta velocidad que alcanzan los 200 Mbps (</w:t>
      </w:r>
      <w:r w:rsidR="00714575" w:rsidRPr="00FE5001">
        <w:rPr>
          <w:rFonts w:ascii="Times New Roman" w:hAnsi="Times New Roman" w:cs="Times New Roman"/>
          <w:i/>
          <w:iCs/>
        </w:rPr>
        <w:t>Megabits</w:t>
      </w:r>
      <w:r w:rsidRPr="00FE5001">
        <w:rPr>
          <w:rFonts w:ascii="Times New Roman" w:hAnsi="Times New Roman" w:cs="Times New Roman"/>
          <w:i/>
          <w:iCs/>
        </w:rPr>
        <w:t xml:space="preserve"> por segundo), a costos competitivos en zonas rurales y periféricas a los centros urbanos, donde la menor densidad de hogares hace inviable los despliegues de redes terrestres de fibra óptica. Actualmente posee bajo cobertura más de 6</w:t>
      </w:r>
      <w:r w:rsidR="00760B8C" w:rsidRPr="00FE5001">
        <w:rPr>
          <w:rFonts w:ascii="Times New Roman" w:hAnsi="Times New Roman" w:cs="Times New Roman"/>
          <w:i/>
          <w:iCs/>
        </w:rPr>
        <w:t>.000.000</w:t>
      </w:r>
      <w:r w:rsidRPr="00FE5001">
        <w:rPr>
          <w:rFonts w:ascii="Times New Roman" w:hAnsi="Times New Roman" w:cs="Times New Roman"/>
          <w:i/>
          <w:iCs/>
        </w:rPr>
        <w:t xml:space="preserve"> </w:t>
      </w:r>
      <w:r w:rsidR="00760B8C" w:rsidRPr="00FE5001">
        <w:rPr>
          <w:rFonts w:ascii="Times New Roman" w:hAnsi="Times New Roman" w:cs="Times New Roman"/>
          <w:i/>
          <w:iCs/>
        </w:rPr>
        <w:t xml:space="preserve">(seis </w:t>
      </w:r>
      <w:r w:rsidRPr="00FE5001">
        <w:rPr>
          <w:rFonts w:ascii="Times New Roman" w:hAnsi="Times New Roman" w:cs="Times New Roman"/>
          <w:i/>
          <w:iCs/>
        </w:rPr>
        <w:t>millones</w:t>
      </w:r>
      <w:r w:rsidR="00760B8C" w:rsidRPr="00FE5001">
        <w:rPr>
          <w:rFonts w:ascii="Times New Roman" w:hAnsi="Times New Roman" w:cs="Times New Roman"/>
          <w:i/>
          <w:iCs/>
        </w:rPr>
        <w:t>)</w:t>
      </w:r>
      <w:r w:rsidRPr="00FE5001">
        <w:rPr>
          <w:rFonts w:ascii="Times New Roman" w:hAnsi="Times New Roman" w:cs="Times New Roman"/>
          <w:i/>
          <w:iCs/>
        </w:rPr>
        <w:t xml:space="preserve"> de hogares de los cuales más de 400.000 </w:t>
      </w:r>
      <w:r w:rsidR="00760B8C" w:rsidRPr="00FE5001">
        <w:rPr>
          <w:rFonts w:ascii="Times New Roman" w:hAnsi="Times New Roman" w:cs="Times New Roman"/>
          <w:i/>
          <w:iCs/>
        </w:rPr>
        <w:t xml:space="preserve">(cuatrocientos mil) </w:t>
      </w:r>
      <w:r w:rsidRPr="00FE5001">
        <w:rPr>
          <w:rFonts w:ascii="Times New Roman" w:hAnsi="Times New Roman" w:cs="Times New Roman"/>
          <w:i/>
          <w:iCs/>
        </w:rPr>
        <w:t xml:space="preserve">se encuentran desatendidos por los operadores tradicionales de telecomunicaciones. </w:t>
      </w:r>
      <w:r w:rsidR="00444856">
        <w:rPr>
          <w:rFonts w:ascii="Times New Roman" w:hAnsi="Times New Roman" w:cs="Times New Roman"/>
          <w:i/>
          <w:iCs/>
        </w:rPr>
        <w:t xml:space="preserve">Hasta el cierre </w:t>
      </w:r>
      <w:r w:rsidR="00444856">
        <w:rPr>
          <w:rFonts w:ascii="Times New Roman" w:hAnsi="Times New Roman" w:cs="Times New Roman"/>
          <w:i/>
          <w:iCs/>
        </w:rPr>
        <w:lastRenderedPageBreak/>
        <w:t xml:space="preserve">de esta Memoria se </w:t>
      </w:r>
      <w:r w:rsidRPr="00FE5001">
        <w:rPr>
          <w:rFonts w:ascii="Times New Roman" w:hAnsi="Times New Roman" w:cs="Times New Roman"/>
          <w:i/>
          <w:iCs/>
        </w:rPr>
        <w:t>continuaron las instalaciones de nuevas antenas satelitales, la cartera de servicios activos se incrementó cercano a los 8.</w:t>
      </w:r>
      <w:r w:rsidR="00444856">
        <w:rPr>
          <w:rFonts w:ascii="Times New Roman" w:hAnsi="Times New Roman" w:cs="Times New Roman"/>
          <w:i/>
          <w:iCs/>
        </w:rPr>
        <w:t>6</w:t>
      </w:r>
      <w:r w:rsidRPr="00FE5001">
        <w:rPr>
          <w:rFonts w:ascii="Times New Roman" w:hAnsi="Times New Roman" w:cs="Times New Roman"/>
          <w:i/>
          <w:iCs/>
        </w:rPr>
        <w:t xml:space="preserve">00 </w:t>
      </w:r>
      <w:r w:rsidR="00760B8C" w:rsidRPr="00FE5001">
        <w:rPr>
          <w:rFonts w:ascii="Times New Roman" w:hAnsi="Times New Roman" w:cs="Times New Roman"/>
          <w:i/>
          <w:iCs/>
        </w:rPr>
        <w:t xml:space="preserve">(ocho mil </w:t>
      </w:r>
      <w:r w:rsidR="00444856">
        <w:rPr>
          <w:rFonts w:ascii="Times New Roman" w:hAnsi="Times New Roman" w:cs="Times New Roman"/>
          <w:i/>
          <w:iCs/>
        </w:rPr>
        <w:t>seiscientos</w:t>
      </w:r>
      <w:r w:rsidR="00760B8C" w:rsidRPr="00FE5001">
        <w:rPr>
          <w:rFonts w:ascii="Times New Roman" w:hAnsi="Times New Roman" w:cs="Times New Roman"/>
          <w:i/>
          <w:iCs/>
        </w:rPr>
        <w:t xml:space="preserve">) </w:t>
      </w:r>
      <w:r w:rsidRPr="00FE5001">
        <w:rPr>
          <w:rFonts w:ascii="Times New Roman" w:hAnsi="Times New Roman" w:cs="Times New Roman"/>
          <w:i/>
          <w:iCs/>
        </w:rPr>
        <w:t>usuarios</w:t>
      </w:r>
      <w:r w:rsidR="00444856">
        <w:rPr>
          <w:rFonts w:ascii="Times New Roman" w:hAnsi="Times New Roman" w:cs="Times New Roman"/>
          <w:i/>
          <w:iCs/>
        </w:rPr>
        <w:t xml:space="preserve"> </w:t>
      </w:r>
      <w:r w:rsidR="00444856" w:rsidRPr="00444856">
        <w:rPr>
          <w:rFonts w:ascii="Times New Roman" w:hAnsi="Times New Roman" w:cs="Times New Roman"/>
          <w:i/>
          <w:iCs/>
        </w:rPr>
        <w:t xml:space="preserve">y acabamos de ser </w:t>
      </w:r>
      <w:proofErr w:type="spellStart"/>
      <w:r w:rsidR="00444856" w:rsidRPr="00444856">
        <w:rPr>
          <w:rFonts w:ascii="Times New Roman" w:hAnsi="Times New Roman" w:cs="Times New Roman"/>
          <w:i/>
          <w:iCs/>
        </w:rPr>
        <w:t>pre-adjudicados</w:t>
      </w:r>
      <w:proofErr w:type="spellEnd"/>
      <w:r w:rsidR="00444856" w:rsidRPr="00444856">
        <w:rPr>
          <w:rFonts w:ascii="Times New Roman" w:hAnsi="Times New Roman" w:cs="Times New Roman"/>
          <w:i/>
          <w:iCs/>
        </w:rPr>
        <w:t xml:space="preserve"> de la instalación de 928 escuelas rurales en la </w:t>
      </w:r>
      <w:proofErr w:type="spellStart"/>
      <w:r w:rsidR="00444856" w:rsidRPr="00444856">
        <w:rPr>
          <w:rFonts w:ascii="Times New Roman" w:hAnsi="Times New Roman" w:cs="Times New Roman"/>
          <w:i/>
          <w:iCs/>
        </w:rPr>
        <w:t>Pcia</w:t>
      </w:r>
      <w:proofErr w:type="spellEnd"/>
      <w:r w:rsidR="00444856" w:rsidRPr="00444856">
        <w:rPr>
          <w:rFonts w:ascii="Times New Roman" w:hAnsi="Times New Roman" w:cs="Times New Roman"/>
          <w:i/>
          <w:iCs/>
        </w:rPr>
        <w:t xml:space="preserve"> de Buenos Aires, con la posibilidad de obtener un número mayor sobre una licitación total de 2900 escuelas, donde se compite con más de 50 proveedores de todo tipo y tamaño</w:t>
      </w:r>
      <w:r w:rsidRPr="00FE5001">
        <w:rPr>
          <w:rFonts w:ascii="Times New Roman" w:hAnsi="Times New Roman" w:cs="Times New Roman"/>
          <w:i/>
          <w:iCs/>
        </w:rPr>
        <w:t>. Adicionalmente ha ampliado su zona de cobertura instalando sus primeros servicios en las provincias de Mendoza, Neuquén y</w:t>
      </w:r>
      <w:r w:rsidR="00444856">
        <w:rPr>
          <w:rFonts w:ascii="Times New Roman" w:hAnsi="Times New Roman" w:cs="Times New Roman"/>
          <w:i/>
          <w:iCs/>
        </w:rPr>
        <w:t xml:space="preserve"> en</w:t>
      </w:r>
      <w:r w:rsidRPr="00FE5001">
        <w:rPr>
          <w:rFonts w:ascii="Times New Roman" w:hAnsi="Times New Roman" w:cs="Times New Roman"/>
          <w:i/>
          <w:iCs/>
        </w:rPr>
        <w:t xml:space="preserve"> Chile</w:t>
      </w:r>
      <w:r w:rsidR="00444856">
        <w:rPr>
          <w:rFonts w:ascii="Times New Roman" w:hAnsi="Times New Roman" w:cs="Times New Roman"/>
          <w:i/>
          <w:iCs/>
        </w:rPr>
        <w:t xml:space="preserve"> </w:t>
      </w:r>
      <w:r w:rsidR="00444856" w:rsidRPr="00C35966">
        <w:rPr>
          <w:rFonts w:ascii="Times New Roman" w:hAnsi="Times New Roman" w:cs="Times New Roman"/>
          <w:i/>
          <w:iCs/>
        </w:rPr>
        <w:t>cuenta con una cartera activa de 270 clientes que se va ampliando mes a mes</w:t>
      </w:r>
      <w:r w:rsidR="00760B8C" w:rsidRPr="00FE5001">
        <w:rPr>
          <w:rFonts w:ascii="Times New Roman" w:hAnsi="Times New Roman" w:cs="Times New Roman"/>
          <w:i/>
          <w:iCs/>
        </w:rPr>
        <w:t>.</w:t>
      </w:r>
      <w:r w:rsidRPr="00FE5001">
        <w:rPr>
          <w:rFonts w:ascii="Times New Roman" w:hAnsi="Times New Roman" w:cs="Times New Roman"/>
          <w:i/>
          <w:iCs/>
        </w:rPr>
        <w:t xml:space="preserve"> La novedosa tecnología satelital GEO HTS en banda Ka desplegada por </w:t>
      </w:r>
      <w:proofErr w:type="spellStart"/>
      <w:r w:rsidRPr="00FE5001">
        <w:rPr>
          <w:rFonts w:ascii="Times New Roman" w:hAnsi="Times New Roman" w:cs="Times New Roman"/>
          <w:i/>
          <w:iCs/>
        </w:rPr>
        <w:t>Orbith</w:t>
      </w:r>
      <w:proofErr w:type="spellEnd"/>
      <w:r w:rsidRPr="00FE5001">
        <w:rPr>
          <w:rFonts w:ascii="Times New Roman" w:hAnsi="Times New Roman" w:cs="Times New Roman"/>
          <w:i/>
          <w:iCs/>
        </w:rPr>
        <w:t xml:space="preserve"> demostró la capacidad de satisfacer las necesidades de conectividad de una amplia gama de sectores y clientes. </w:t>
      </w:r>
      <w:proofErr w:type="spellStart"/>
      <w:r w:rsidRPr="00FE5001">
        <w:rPr>
          <w:rFonts w:ascii="Times New Roman" w:hAnsi="Times New Roman" w:cs="Times New Roman"/>
          <w:i/>
          <w:iCs/>
        </w:rPr>
        <w:t>Orbith</w:t>
      </w:r>
      <w:proofErr w:type="spellEnd"/>
      <w:r w:rsidRPr="00FE5001">
        <w:rPr>
          <w:rFonts w:ascii="Times New Roman" w:hAnsi="Times New Roman" w:cs="Times New Roman"/>
          <w:i/>
          <w:iCs/>
        </w:rPr>
        <w:t xml:space="preserve"> posee actualmente ingresos provenientes de la venta directa de servicios de internet al mercado residencial y PyME, venta mayorista a otros operadores de telecomunicaciones, venta al sector público (escuelas, hospitales, comisarías y otros organismos), y venta al sector privado de medianas y grandes empresas.</w:t>
      </w:r>
    </w:p>
    <w:p w14:paraId="496F218A" w14:textId="77777777" w:rsidR="00B117F5" w:rsidRPr="00FE5001" w:rsidRDefault="00B117F5" w:rsidP="00FE5001">
      <w:pPr>
        <w:spacing w:after="0" w:line="240" w:lineRule="auto"/>
        <w:jc w:val="both"/>
        <w:rPr>
          <w:rFonts w:ascii="Times New Roman" w:hAnsi="Times New Roman" w:cs="Times New Roman"/>
          <w:i/>
          <w:iCs/>
        </w:rPr>
      </w:pPr>
    </w:p>
    <w:p w14:paraId="63A7ECA9" w14:textId="18E57810" w:rsidR="00714575" w:rsidRPr="00FE5001" w:rsidRDefault="00714575" w:rsidP="008E7002">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 En términos de prestación de servicios de internet satelital, </w:t>
      </w:r>
      <w:proofErr w:type="spellStart"/>
      <w:r w:rsidRPr="00FE5001">
        <w:rPr>
          <w:rFonts w:ascii="Times New Roman" w:hAnsi="Times New Roman" w:cs="Times New Roman"/>
          <w:i/>
          <w:iCs/>
        </w:rPr>
        <w:t>Orbith</w:t>
      </w:r>
      <w:proofErr w:type="spellEnd"/>
      <w:r w:rsidRPr="00FE5001">
        <w:rPr>
          <w:rFonts w:ascii="Times New Roman" w:hAnsi="Times New Roman" w:cs="Times New Roman"/>
          <w:i/>
          <w:iCs/>
        </w:rPr>
        <w:t xml:space="preserve"> mantuvo su servicio desde el inicio del aislamiento social obligatorio y</w:t>
      </w:r>
      <w:r w:rsidR="00760B8C" w:rsidRPr="00FE5001">
        <w:rPr>
          <w:rFonts w:ascii="Times New Roman" w:hAnsi="Times New Roman" w:cs="Times New Roman"/>
          <w:i/>
          <w:iCs/>
        </w:rPr>
        <w:t>,</w:t>
      </w:r>
      <w:r w:rsidRPr="00FE5001">
        <w:rPr>
          <w:rFonts w:ascii="Times New Roman" w:hAnsi="Times New Roman" w:cs="Times New Roman"/>
          <w:i/>
          <w:iCs/>
        </w:rPr>
        <w:t xml:space="preserve"> además</w:t>
      </w:r>
      <w:r w:rsidR="00760B8C" w:rsidRPr="00FE5001">
        <w:rPr>
          <w:rFonts w:ascii="Times New Roman" w:hAnsi="Times New Roman" w:cs="Times New Roman"/>
          <w:i/>
          <w:iCs/>
        </w:rPr>
        <w:t>,</w:t>
      </w:r>
      <w:r w:rsidRPr="00FE5001">
        <w:rPr>
          <w:rFonts w:ascii="Times New Roman" w:hAnsi="Times New Roman" w:cs="Times New Roman"/>
          <w:i/>
          <w:iCs/>
        </w:rPr>
        <w:t xml:space="preserve"> continuó incrementando su crecimiento. El impacto de la </w:t>
      </w:r>
      <w:r w:rsidR="00760B8C" w:rsidRPr="00FE5001">
        <w:rPr>
          <w:rFonts w:ascii="Times New Roman" w:hAnsi="Times New Roman" w:cs="Times New Roman"/>
          <w:i/>
          <w:iCs/>
        </w:rPr>
        <w:t xml:space="preserve">pandemia </w:t>
      </w:r>
      <w:r w:rsidRPr="00FE5001">
        <w:rPr>
          <w:rFonts w:ascii="Times New Roman" w:hAnsi="Times New Roman" w:cs="Times New Roman"/>
          <w:i/>
          <w:iCs/>
        </w:rPr>
        <w:t>generó fortalecimiento en el negocio cuya actividad en la prestación de este servicio se encuentra categorizada como esencial. Por otra parte, la ampliación de su zona de cobertura hacia Mendoza</w:t>
      </w:r>
      <w:r w:rsidR="00760B8C" w:rsidRPr="00FE5001">
        <w:rPr>
          <w:rFonts w:ascii="Times New Roman" w:hAnsi="Times New Roman" w:cs="Times New Roman"/>
          <w:i/>
          <w:iCs/>
        </w:rPr>
        <w:t xml:space="preserve"> y</w:t>
      </w:r>
      <w:r w:rsidRPr="00FE5001">
        <w:rPr>
          <w:rFonts w:ascii="Times New Roman" w:hAnsi="Times New Roman" w:cs="Times New Roman"/>
          <w:i/>
          <w:iCs/>
        </w:rPr>
        <w:t xml:space="preserve"> Neuquén se encuentra en marcha y en la primera fase de operación en Chile</w:t>
      </w:r>
      <w:r w:rsidR="00ED01DC" w:rsidRPr="00C35966">
        <w:rPr>
          <w:rFonts w:ascii="Times New Roman" w:hAnsi="Times New Roman" w:cs="Times New Roman"/>
          <w:i/>
          <w:iCs/>
        </w:rPr>
        <w:t>, con amplias perspectivas de crecimiento</w:t>
      </w:r>
      <w:r w:rsidRPr="00FE5001">
        <w:rPr>
          <w:rFonts w:ascii="Times New Roman" w:hAnsi="Times New Roman" w:cs="Times New Roman"/>
          <w:i/>
          <w:iCs/>
        </w:rPr>
        <w:t>.</w:t>
      </w:r>
    </w:p>
    <w:p w14:paraId="06FA4204" w14:textId="77777777" w:rsidR="00B117F5" w:rsidRPr="00FE5001" w:rsidRDefault="00B117F5" w:rsidP="00FE5001">
      <w:pPr>
        <w:spacing w:after="0" w:line="240" w:lineRule="auto"/>
        <w:jc w:val="both"/>
        <w:rPr>
          <w:rFonts w:ascii="Times New Roman" w:hAnsi="Times New Roman" w:cs="Times New Roman"/>
          <w:i/>
          <w:iCs/>
        </w:rPr>
      </w:pPr>
    </w:p>
    <w:p w14:paraId="480281C9" w14:textId="77777777" w:rsidR="00CD0159" w:rsidRPr="00FE5001" w:rsidRDefault="00CD0159" w:rsidP="00FE5001">
      <w:pPr>
        <w:spacing w:after="0" w:line="240" w:lineRule="auto"/>
        <w:jc w:val="both"/>
        <w:rPr>
          <w:rFonts w:ascii="Times New Roman" w:hAnsi="Times New Roman" w:cs="Times New Roman"/>
          <w:b/>
          <w:bCs/>
          <w:i/>
          <w:iCs/>
          <w:highlight w:val="yellow"/>
        </w:rPr>
      </w:pPr>
    </w:p>
    <w:p w14:paraId="25482E76" w14:textId="23BCB64B" w:rsidR="00714575" w:rsidRPr="00FE5001" w:rsidRDefault="00714575" w:rsidP="008E7002">
      <w:pPr>
        <w:spacing w:after="0" w:line="240" w:lineRule="auto"/>
        <w:jc w:val="both"/>
        <w:rPr>
          <w:rFonts w:ascii="Times New Roman" w:hAnsi="Times New Roman" w:cs="Times New Roman"/>
          <w:b/>
          <w:bCs/>
          <w:i/>
          <w:iCs/>
        </w:rPr>
      </w:pPr>
      <w:r w:rsidRPr="00FE5001">
        <w:rPr>
          <w:rFonts w:ascii="Times New Roman" w:hAnsi="Times New Roman" w:cs="Times New Roman"/>
          <w:b/>
          <w:bCs/>
          <w:i/>
          <w:iCs/>
          <w:caps/>
        </w:rPr>
        <w:t>S</w:t>
      </w:r>
      <w:r w:rsidR="004E2181" w:rsidRPr="00FE5001">
        <w:rPr>
          <w:rFonts w:ascii="Times New Roman" w:hAnsi="Times New Roman" w:cs="Times New Roman"/>
          <w:b/>
          <w:bCs/>
          <w:i/>
          <w:iCs/>
          <w:caps/>
        </w:rPr>
        <w:t>ervicios para el Transporte de Información S.A.U</w:t>
      </w:r>
      <w:r w:rsidR="004E2181" w:rsidRPr="00FE5001">
        <w:rPr>
          <w:rFonts w:ascii="Times New Roman" w:hAnsi="Times New Roman" w:cs="Times New Roman"/>
          <w:b/>
          <w:bCs/>
          <w:i/>
          <w:iCs/>
        </w:rPr>
        <w:t xml:space="preserve"> (“S</w:t>
      </w:r>
      <w:r w:rsidRPr="00FE5001">
        <w:rPr>
          <w:rFonts w:ascii="Times New Roman" w:hAnsi="Times New Roman" w:cs="Times New Roman"/>
          <w:b/>
          <w:bCs/>
          <w:i/>
          <w:iCs/>
        </w:rPr>
        <w:t>PTI</w:t>
      </w:r>
      <w:r w:rsidR="004E2181" w:rsidRPr="00FE5001">
        <w:rPr>
          <w:rFonts w:ascii="Times New Roman" w:hAnsi="Times New Roman" w:cs="Times New Roman"/>
          <w:b/>
          <w:bCs/>
          <w:i/>
          <w:iCs/>
        </w:rPr>
        <w:t>”)</w:t>
      </w:r>
    </w:p>
    <w:p w14:paraId="19AA1EE9" w14:textId="77777777" w:rsidR="00B117F5" w:rsidRPr="00FE5001" w:rsidRDefault="00B117F5" w:rsidP="00FE5001">
      <w:pPr>
        <w:spacing w:after="0" w:line="240" w:lineRule="auto"/>
        <w:jc w:val="both"/>
        <w:rPr>
          <w:rFonts w:ascii="Times New Roman" w:hAnsi="Times New Roman" w:cs="Times New Roman"/>
          <w:b/>
          <w:bCs/>
          <w:i/>
          <w:iCs/>
        </w:rPr>
      </w:pPr>
    </w:p>
    <w:p w14:paraId="78C96D04" w14:textId="72B99F88"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 xml:space="preserve">Todas las operaciones de SPTI relacionadas a las comunicaciones y mantenimiento en las provincias donde se presta servicio </w:t>
      </w:r>
      <w:r w:rsidR="00DB60A5" w:rsidRPr="00FE5001">
        <w:rPr>
          <w:rFonts w:ascii="Times New Roman" w:eastAsia="Times New Roman" w:hAnsi="Times New Roman" w:cs="Times New Roman"/>
          <w:i/>
          <w:iCs/>
          <w:lang w:val="es-ES" w:eastAsia="es-ES"/>
        </w:rPr>
        <w:t>operaron sin inconvenientes durante el ejercicio</w:t>
      </w:r>
      <w:r w:rsidRPr="00FE5001">
        <w:rPr>
          <w:rFonts w:ascii="Times New Roman" w:eastAsia="Times New Roman" w:hAnsi="Times New Roman" w:cs="Times New Roman"/>
          <w:i/>
          <w:iCs/>
          <w:lang w:val="es-ES" w:eastAsia="es-ES"/>
        </w:rPr>
        <w:t>.</w:t>
      </w:r>
    </w:p>
    <w:p w14:paraId="48E6D859"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6268356D" w14:textId="56CA4049"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 xml:space="preserve">SPTI continúa brindando servicio de operación y mantenimiento integral de comunicaciones llegando a conectar 14.000 </w:t>
      </w:r>
      <w:r w:rsidR="002B245F" w:rsidRPr="00FE5001">
        <w:rPr>
          <w:rFonts w:ascii="Times New Roman" w:eastAsia="Times New Roman" w:hAnsi="Times New Roman" w:cs="Times New Roman"/>
          <w:i/>
          <w:iCs/>
          <w:lang w:val="es-ES" w:eastAsia="es-ES"/>
        </w:rPr>
        <w:t xml:space="preserve">(catorce mil) </w:t>
      </w:r>
      <w:r w:rsidRPr="00FE5001">
        <w:rPr>
          <w:rFonts w:ascii="Times New Roman" w:eastAsia="Times New Roman" w:hAnsi="Times New Roman" w:cs="Times New Roman"/>
          <w:i/>
          <w:iCs/>
          <w:lang w:val="es-ES" w:eastAsia="es-ES"/>
        </w:rPr>
        <w:t xml:space="preserve">puntos de venta On-line Real Time y más 2000 </w:t>
      </w:r>
      <w:r w:rsidR="002B245F" w:rsidRPr="00FE5001">
        <w:rPr>
          <w:rFonts w:ascii="Times New Roman" w:eastAsia="Times New Roman" w:hAnsi="Times New Roman" w:cs="Times New Roman"/>
          <w:i/>
          <w:iCs/>
          <w:lang w:val="es-ES" w:eastAsia="es-ES"/>
        </w:rPr>
        <w:t xml:space="preserve">(dos mil) </w:t>
      </w:r>
      <w:r w:rsidRPr="00FE5001">
        <w:rPr>
          <w:rFonts w:ascii="Times New Roman" w:eastAsia="Times New Roman" w:hAnsi="Times New Roman" w:cs="Times New Roman"/>
          <w:i/>
          <w:iCs/>
          <w:lang w:val="es-ES" w:eastAsia="es-ES"/>
        </w:rPr>
        <w:t xml:space="preserve">puntos de venta Off Line a través de 9000 </w:t>
      </w:r>
      <w:r w:rsidR="002B245F" w:rsidRPr="00FE5001">
        <w:rPr>
          <w:rFonts w:ascii="Times New Roman" w:eastAsia="Times New Roman" w:hAnsi="Times New Roman" w:cs="Times New Roman"/>
          <w:i/>
          <w:iCs/>
          <w:lang w:val="es-ES" w:eastAsia="es-ES"/>
        </w:rPr>
        <w:t xml:space="preserve">(nueve mil) </w:t>
      </w:r>
      <w:r w:rsidRPr="00FE5001">
        <w:rPr>
          <w:rFonts w:ascii="Times New Roman" w:eastAsia="Times New Roman" w:hAnsi="Times New Roman" w:cs="Times New Roman"/>
          <w:i/>
          <w:iCs/>
          <w:lang w:val="es-ES" w:eastAsia="es-ES"/>
        </w:rPr>
        <w:t>radioenlaces Inteligentes y más de 6000</w:t>
      </w:r>
      <w:r w:rsidR="002B245F" w:rsidRPr="00FE5001">
        <w:rPr>
          <w:rFonts w:ascii="Times New Roman" w:eastAsia="Times New Roman" w:hAnsi="Times New Roman" w:cs="Times New Roman"/>
          <w:i/>
          <w:iCs/>
          <w:lang w:val="es-ES" w:eastAsia="es-ES"/>
        </w:rPr>
        <w:t xml:space="preserve"> (seis mil)</w:t>
      </w:r>
      <w:r w:rsidRPr="00FE5001">
        <w:rPr>
          <w:rFonts w:ascii="Times New Roman" w:eastAsia="Times New Roman" w:hAnsi="Times New Roman" w:cs="Times New Roman"/>
          <w:i/>
          <w:iCs/>
          <w:lang w:val="es-ES" w:eastAsia="es-ES"/>
        </w:rPr>
        <w:t xml:space="preserve"> Estaciones Satelitales, cursando un tráfico de 470</w:t>
      </w:r>
      <w:r w:rsidR="002B245F" w:rsidRPr="00FE5001">
        <w:rPr>
          <w:rFonts w:ascii="Times New Roman" w:eastAsia="Times New Roman" w:hAnsi="Times New Roman" w:cs="Times New Roman"/>
          <w:i/>
          <w:iCs/>
          <w:lang w:val="es-ES" w:eastAsia="es-ES"/>
        </w:rPr>
        <w:t>.000.000</w:t>
      </w:r>
      <w:r w:rsidRPr="00FE5001">
        <w:rPr>
          <w:rFonts w:ascii="Times New Roman" w:eastAsia="Times New Roman" w:hAnsi="Times New Roman" w:cs="Times New Roman"/>
          <w:i/>
          <w:iCs/>
          <w:lang w:val="es-ES" w:eastAsia="es-ES"/>
        </w:rPr>
        <w:t xml:space="preserve"> </w:t>
      </w:r>
      <w:r w:rsidR="002B245F" w:rsidRPr="00FE5001">
        <w:rPr>
          <w:rFonts w:ascii="Times New Roman" w:eastAsia="Times New Roman" w:hAnsi="Times New Roman" w:cs="Times New Roman"/>
          <w:i/>
          <w:iCs/>
          <w:lang w:val="es-ES" w:eastAsia="es-ES"/>
        </w:rPr>
        <w:t xml:space="preserve">(Cuatrocientos Setenta </w:t>
      </w:r>
      <w:r w:rsidRPr="00FE5001">
        <w:rPr>
          <w:rFonts w:ascii="Times New Roman" w:eastAsia="Times New Roman" w:hAnsi="Times New Roman" w:cs="Times New Roman"/>
          <w:i/>
          <w:iCs/>
          <w:lang w:val="es-ES" w:eastAsia="es-ES"/>
        </w:rPr>
        <w:t>Millones</w:t>
      </w:r>
      <w:r w:rsidR="002B245F" w:rsidRPr="00FE5001">
        <w:rPr>
          <w:rFonts w:ascii="Times New Roman" w:eastAsia="Times New Roman" w:hAnsi="Times New Roman" w:cs="Times New Roman"/>
          <w:i/>
          <w:iCs/>
          <w:lang w:val="es-ES" w:eastAsia="es-ES"/>
        </w:rPr>
        <w:t>)</w:t>
      </w:r>
      <w:r w:rsidRPr="00FE5001">
        <w:rPr>
          <w:rFonts w:ascii="Times New Roman" w:eastAsia="Times New Roman" w:hAnsi="Times New Roman" w:cs="Times New Roman"/>
          <w:i/>
          <w:iCs/>
          <w:lang w:val="es-ES" w:eastAsia="es-ES"/>
        </w:rPr>
        <w:t xml:space="preserve"> de Transacciones mensuales en las Provincias de Buenos Aires, Córdoba, Santa Fe, Entre Ríos, Formosa y Misiones. </w:t>
      </w:r>
    </w:p>
    <w:p w14:paraId="02015089" w14:textId="77777777" w:rsidR="00FE5001" w:rsidRDefault="00FE5001" w:rsidP="008E7002">
      <w:pPr>
        <w:spacing w:after="0" w:line="240" w:lineRule="auto"/>
        <w:jc w:val="both"/>
        <w:rPr>
          <w:rFonts w:ascii="Times New Roman" w:eastAsia="Times New Roman" w:hAnsi="Times New Roman" w:cs="Times New Roman"/>
          <w:i/>
          <w:iCs/>
          <w:lang w:val="es-ES" w:eastAsia="es-ES"/>
        </w:rPr>
      </w:pPr>
    </w:p>
    <w:p w14:paraId="52D683EB" w14:textId="20C0080B"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En cuanto al desarrollo de nuevos productos y servicios SPTI continua su crecimiento en el mercado de la fibra óptica para el hogar FTTH (</w:t>
      </w:r>
      <w:proofErr w:type="spellStart"/>
      <w:r w:rsidRPr="00FE5001">
        <w:rPr>
          <w:rFonts w:ascii="Times New Roman" w:eastAsia="Times New Roman" w:hAnsi="Times New Roman" w:cs="Times New Roman"/>
          <w:i/>
          <w:iCs/>
          <w:lang w:val="es-ES" w:eastAsia="es-ES"/>
        </w:rPr>
        <w:t>Fiber</w:t>
      </w:r>
      <w:proofErr w:type="spellEnd"/>
      <w:r w:rsidRPr="00FE5001">
        <w:rPr>
          <w:rFonts w:ascii="Times New Roman" w:eastAsia="Times New Roman" w:hAnsi="Times New Roman" w:cs="Times New Roman"/>
          <w:i/>
          <w:iCs/>
          <w:lang w:val="es-ES" w:eastAsia="es-ES"/>
        </w:rPr>
        <w:t xml:space="preserve"> </w:t>
      </w:r>
      <w:proofErr w:type="spellStart"/>
      <w:r w:rsidRPr="00FE5001">
        <w:rPr>
          <w:rFonts w:ascii="Times New Roman" w:eastAsia="Times New Roman" w:hAnsi="Times New Roman" w:cs="Times New Roman"/>
          <w:i/>
          <w:iCs/>
          <w:lang w:val="es-ES" w:eastAsia="es-ES"/>
        </w:rPr>
        <w:t>To</w:t>
      </w:r>
      <w:proofErr w:type="spellEnd"/>
      <w:r w:rsidRPr="00FE5001">
        <w:rPr>
          <w:rFonts w:ascii="Times New Roman" w:eastAsia="Times New Roman" w:hAnsi="Times New Roman" w:cs="Times New Roman"/>
          <w:i/>
          <w:iCs/>
          <w:lang w:val="es-ES" w:eastAsia="es-ES"/>
        </w:rPr>
        <w:t xml:space="preserve"> </w:t>
      </w:r>
      <w:proofErr w:type="spellStart"/>
      <w:r w:rsidRPr="00FE5001">
        <w:rPr>
          <w:rFonts w:ascii="Times New Roman" w:eastAsia="Times New Roman" w:hAnsi="Times New Roman" w:cs="Times New Roman"/>
          <w:i/>
          <w:iCs/>
          <w:lang w:val="es-ES" w:eastAsia="es-ES"/>
        </w:rPr>
        <w:t>The</w:t>
      </w:r>
      <w:proofErr w:type="spellEnd"/>
      <w:r w:rsidRPr="00FE5001">
        <w:rPr>
          <w:rFonts w:ascii="Times New Roman" w:eastAsia="Times New Roman" w:hAnsi="Times New Roman" w:cs="Times New Roman"/>
          <w:i/>
          <w:iCs/>
          <w:lang w:val="es-ES" w:eastAsia="es-ES"/>
        </w:rPr>
        <w:t xml:space="preserve"> Home) a través de la marca </w:t>
      </w:r>
      <w:proofErr w:type="spellStart"/>
      <w:r w:rsidRPr="00FE5001">
        <w:rPr>
          <w:rFonts w:ascii="Times New Roman" w:eastAsia="Times New Roman" w:hAnsi="Times New Roman" w:cs="Times New Roman"/>
          <w:i/>
          <w:iCs/>
          <w:lang w:val="es-ES" w:eastAsia="es-ES"/>
        </w:rPr>
        <w:t>Interfy</w:t>
      </w:r>
      <w:proofErr w:type="spellEnd"/>
      <w:r w:rsidRPr="00FE5001">
        <w:rPr>
          <w:rFonts w:ascii="Times New Roman" w:eastAsia="Times New Roman" w:hAnsi="Times New Roman" w:cs="Times New Roman"/>
          <w:i/>
          <w:iCs/>
          <w:lang w:val="es-ES" w:eastAsia="es-ES"/>
        </w:rPr>
        <w:t xml:space="preserve">, apuntando tanto al segmento residencial como al corporativo </w:t>
      </w:r>
    </w:p>
    <w:p w14:paraId="2C8D8DB5"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0A8FA8BD" w14:textId="5B06BD00"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En el Puerto de Santa Fe se finalizó el despliegue de fibra óptica, y a consecuencia de un arreglo con la Cámara de Usuarios y de campañas de difusión se fueron sumando nuevos clientes. También en la ciudad de Rosario continuó con la expansión y ampliación de la cobertura geográfica de los servicios</w:t>
      </w:r>
    </w:p>
    <w:p w14:paraId="11D3FCD5"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44491062" w14:textId="36837E95"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 xml:space="preserve">En </w:t>
      </w:r>
      <w:r w:rsidR="004E2181" w:rsidRPr="00FE5001">
        <w:rPr>
          <w:rFonts w:ascii="Times New Roman" w:eastAsia="Times New Roman" w:hAnsi="Times New Roman" w:cs="Times New Roman"/>
          <w:i/>
          <w:iCs/>
          <w:lang w:val="es-ES" w:eastAsia="es-ES"/>
        </w:rPr>
        <w:t xml:space="preserve">la </w:t>
      </w:r>
      <w:r w:rsidRPr="00FE5001">
        <w:rPr>
          <w:rFonts w:ascii="Times New Roman" w:eastAsia="Times New Roman" w:hAnsi="Times New Roman" w:cs="Times New Roman"/>
          <w:i/>
          <w:iCs/>
          <w:lang w:val="es-ES" w:eastAsia="es-ES"/>
        </w:rPr>
        <w:t>C</w:t>
      </w:r>
      <w:r w:rsidR="004E2181" w:rsidRPr="00FE5001">
        <w:rPr>
          <w:rFonts w:ascii="Times New Roman" w:eastAsia="Times New Roman" w:hAnsi="Times New Roman" w:cs="Times New Roman"/>
          <w:i/>
          <w:iCs/>
          <w:lang w:val="es-ES" w:eastAsia="es-ES"/>
        </w:rPr>
        <w:t xml:space="preserve">iudad </w:t>
      </w:r>
      <w:r w:rsidR="002B245F" w:rsidRPr="00FE5001">
        <w:rPr>
          <w:rFonts w:ascii="Times New Roman" w:eastAsia="Times New Roman" w:hAnsi="Times New Roman" w:cs="Times New Roman"/>
          <w:i/>
          <w:iCs/>
          <w:lang w:val="es-ES" w:eastAsia="es-ES"/>
        </w:rPr>
        <w:t xml:space="preserve">Autónoma </w:t>
      </w:r>
      <w:r w:rsidR="004E2181" w:rsidRPr="00FE5001">
        <w:rPr>
          <w:rFonts w:ascii="Times New Roman" w:eastAsia="Times New Roman" w:hAnsi="Times New Roman" w:cs="Times New Roman"/>
          <w:i/>
          <w:iCs/>
          <w:lang w:val="es-ES" w:eastAsia="es-ES"/>
        </w:rPr>
        <w:t xml:space="preserve">de Buenos Aires </w:t>
      </w:r>
      <w:r w:rsidRPr="00FE5001">
        <w:rPr>
          <w:rFonts w:ascii="Times New Roman" w:eastAsia="Times New Roman" w:hAnsi="Times New Roman" w:cs="Times New Roman"/>
          <w:i/>
          <w:iCs/>
          <w:lang w:val="es-ES" w:eastAsia="es-ES"/>
        </w:rPr>
        <w:t>se firm</w:t>
      </w:r>
      <w:r w:rsidR="004E2181" w:rsidRPr="00FE5001">
        <w:rPr>
          <w:rFonts w:ascii="Times New Roman" w:eastAsia="Times New Roman" w:hAnsi="Times New Roman" w:cs="Times New Roman"/>
          <w:i/>
          <w:iCs/>
          <w:lang w:val="es-ES" w:eastAsia="es-ES"/>
        </w:rPr>
        <w:t>ó</w:t>
      </w:r>
      <w:r w:rsidRPr="00FE5001">
        <w:rPr>
          <w:rFonts w:ascii="Times New Roman" w:eastAsia="Times New Roman" w:hAnsi="Times New Roman" w:cs="Times New Roman"/>
          <w:i/>
          <w:iCs/>
          <w:lang w:val="es-ES" w:eastAsia="es-ES"/>
        </w:rPr>
        <w:t xml:space="preserve"> un acuerdo con </w:t>
      </w:r>
      <w:r w:rsidR="004E2181" w:rsidRPr="00FE5001">
        <w:rPr>
          <w:rFonts w:ascii="Times New Roman" w:eastAsia="Times New Roman" w:hAnsi="Times New Roman" w:cs="Times New Roman"/>
          <w:i/>
          <w:iCs/>
          <w:lang w:val="es-ES" w:eastAsia="es-ES"/>
        </w:rPr>
        <w:t xml:space="preserve">la </w:t>
      </w:r>
      <w:r w:rsidRPr="00FE5001">
        <w:rPr>
          <w:rFonts w:ascii="Times New Roman" w:eastAsia="Times New Roman" w:hAnsi="Times New Roman" w:cs="Times New Roman"/>
          <w:i/>
          <w:iCs/>
          <w:lang w:val="es-ES" w:eastAsia="es-ES"/>
        </w:rPr>
        <w:t xml:space="preserve">Agencia de Sistemas Informáticos del Gobierno de la Ciudad de Buenos Aires </w:t>
      </w:r>
      <w:r w:rsidR="004E2181" w:rsidRPr="00FE5001">
        <w:rPr>
          <w:rFonts w:ascii="Times New Roman" w:eastAsia="Times New Roman" w:hAnsi="Times New Roman" w:cs="Times New Roman"/>
          <w:i/>
          <w:iCs/>
          <w:lang w:val="es-ES" w:eastAsia="es-ES"/>
        </w:rPr>
        <w:t xml:space="preserve">(“ASI”) </w:t>
      </w:r>
      <w:r w:rsidRPr="00FE5001">
        <w:rPr>
          <w:rFonts w:ascii="Times New Roman" w:eastAsia="Times New Roman" w:hAnsi="Times New Roman" w:cs="Times New Roman"/>
          <w:i/>
          <w:iCs/>
          <w:lang w:val="es-ES" w:eastAsia="es-ES"/>
        </w:rPr>
        <w:t xml:space="preserve">para el usufructo </w:t>
      </w:r>
      <w:r w:rsidR="002C7B07">
        <w:rPr>
          <w:rFonts w:ascii="Times New Roman" w:eastAsia="Times New Roman" w:hAnsi="Times New Roman" w:cs="Times New Roman"/>
          <w:i/>
          <w:iCs/>
          <w:lang w:val="es-ES" w:eastAsia="es-ES"/>
        </w:rPr>
        <w:t xml:space="preserve">de la </w:t>
      </w:r>
      <w:r w:rsidRPr="00FE5001">
        <w:rPr>
          <w:rFonts w:ascii="Times New Roman" w:eastAsia="Times New Roman" w:hAnsi="Times New Roman" w:cs="Times New Roman"/>
          <w:i/>
          <w:iCs/>
          <w:lang w:val="es-ES" w:eastAsia="es-ES"/>
        </w:rPr>
        <w:t xml:space="preserve">infraestructura para el despliegue de fibra óptica soterrada en este barrio, lo cual permitirá llevar FTTH a nuevos hogares a lo largo de la traza. </w:t>
      </w:r>
    </w:p>
    <w:p w14:paraId="1EFA9DBB"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0BEB87C2" w14:textId="31742347" w:rsidR="00D61A24" w:rsidRPr="00FE5001" w:rsidRDefault="00D61A24"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Se firm</w:t>
      </w:r>
      <w:r w:rsidR="004E2181" w:rsidRPr="00FE5001">
        <w:rPr>
          <w:rFonts w:ascii="Times New Roman" w:eastAsia="Times New Roman" w:hAnsi="Times New Roman" w:cs="Times New Roman"/>
          <w:i/>
          <w:iCs/>
          <w:lang w:val="es-ES" w:eastAsia="es-ES"/>
        </w:rPr>
        <w:t>ó</w:t>
      </w:r>
      <w:r w:rsidRPr="00FE5001">
        <w:rPr>
          <w:rFonts w:ascii="Times New Roman" w:eastAsia="Times New Roman" w:hAnsi="Times New Roman" w:cs="Times New Roman"/>
          <w:i/>
          <w:iCs/>
          <w:lang w:val="es-ES" w:eastAsia="es-ES"/>
        </w:rPr>
        <w:t xml:space="preserve"> el acuerdo con la Cooperativa de Servicios Públicos de </w:t>
      </w:r>
      <w:proofErr w:type="spellStart"/>
      <w:r w:rsidRPr="00FE5001">
        <w:rPr>
          <w:rFonts w:ascii="Times New Roman" w:eastAsia="Times New Roman" w:hAnsi="Times New Roman" w:cs="Times New Roman"/>
          <w:i/>
          <w:iCs/>
          <w:lang w:val="es-ES" w:eastAsia="es-ES"/>
        </w:rPr>
        <w:t>Setubal</w:t>
      </w:r>
      <w:proofErr w:type="spellEnd"/>
      <w:r w:rsidRPr="00FE5001">
        <w:rPr>
          <w:rFonts w:ascii="Times New Roman" w:eastAsia="Times New Roman" w:hAnsi="Times New Roman" w:cs="Times New Roman"/>
          <w:i/>
          <w:iCs/>
          <w:lang w:val="es-ES" w:eastAsia="es-ES"/>
        </w:rPr>
        <w:t xml:space="preserve">, radicada ésta en la </w:t>
      </w:r>
      <w:r w:rsidR="00DD1808" w:rsidRPr="00FE5001">
        <w:rPr>
          <w:rFonts w:ascii="Times New Roman" w:eastAsia="Times New Roman" w:hAnsi="Times New Roman" w:cs="Times New Roman"/>
          <w:i/>
          <w:iCs/>
          <w:lang w:val="es-ES" w:eastAsia="es-ES"/>
        </w:rPr>
        <w:t>C</w:t>
      </w:r>
      <w:r w:rsidRPr="00FE5001">
        <w:rPr>
          <w:rFonts w:ascii="Times New Roman" w:eastAsia="Times New Roman" w:hAnsi="Times New Roman" w:cs="Times New Roman"/>
          <w:i/>
          <w:iCs/>
          <w:lang w:val="es-ES" w:eastAsia="es-ES"/>
        </w:rPr>
        <w:t xml:space="preserve">iudad de Santa Fe, para la provisión de acceso a Internet en el barrio de Guadalupe y también se </w:t>
      </w:r>
      <w:r w:rsidR="00DD1808" w:rsidRPr="00FE5001">
        <w:rPr>
          <w:rFonts w:ascii="Times New Roman" w:eastAsia="Times New Roman" w:hAnsi="Times New Roman" w:cs="Times New Roman"/>
          <w:i/>
          <w:iCs/>
          <w:lang w:val="es-ES" w:eastAsia="es-ES"/>
        </w:rPr>
        <w:t xml:space="preserve">emitió una </w:t>
      </w:r>
      <w:r w:rsidRPr="00FE5001">
        <w:rPr>
          <w:rFonts w:ascii="Times New Roman" w:eastAsia="Times New Roman" w:hAnsi="Times New Roman" w:cs="Times New Roman"/>
          <w:i/>
          <w:iCs/>
          <w:lang w:val="es-ES" w:eastAsia="es-ES"/>
        </w:rPr>
        <w:t xml:space="preserve">“Carta Oferta” </w:t>
      </w:r>
      <w:r w:rsidR="00B117F5" w:rsidRPr="00FE5001">
        <w:rPr>
          <w:rFonts w:ascii="Times New Roman" w:eastAsia="Times New Roman" w:hAnsi="Times New Roman" w:cs="Times New Roman"/>
          <w:i/>
          <w:iCs/>
          <w:lang w:val="es-ES" w:eastAsia="es-ES"/>
        </w:rPr>
        <w:t xml:space="preserve">a </w:t>
      </w:r>
      <w:r w:rsidR="00DD1808" w:rsidRPr="00FE5001">
        <w:rPr>
          <w:rFonts w:ascii="Times New Roman" w:eastAsia="Times New Roman" w:hAnsi="Times New Roman" w:cs="Times New Roman"/>
          <w:i/>
          <w:iCs/>
          <w:lang w:val="es-ES" w:eastAsia="es-ES"/>
        </w:rPr>
        <w:t xml:space="preserve">algunos consorcios de </w:t>
      </w:r>
      <w:r w:rsidRPr="00FE5001">
        <w:rPr>
          <w:rFonts w:ascii="Times New Roman" w:eastAsia="Times New Roman" w:hAnsi="Times New Roman" w:cs="Times New Roman"/>
          <w:i/>
          <w:iCs/>
          <w:lang w:val="es-ES" w:eastAsia="es-ES"/>
        </w:rPr>
        <w:t xml:space="preserve">barrios privados del municipio de Santo Tomé, Santa Fe, y se </w:t>
      </w:r>
      <w:r w:rsidR="00DD1808" w:rsidRPr="00FE5001">
        <w:rPr>
          <w:rFonts w:ascii="Times New Roman" w:eastAsia="Times New Roman" w:hAnsi="Times New Roman" w:cs="Times New Roman"/>
          <w:i/>
          <w:iCs/>
          <w:lang w:val="es-ES" w:eastAsia="es-ES"/>
        </w:rPr>
        <w:t xml:space="preserve">encuentra </w:t>
      </w:r>
      <w:r w:rsidRPr="00FE5001">
        <w:rPr>
          <w:rFonts w:ascii="Times New Roman" w:eastAsia="Times New Roman" w:hAnsi="Times New Roman" w:cs="Times New Roman"/>
          <w:i/>
          <w:iCs/>
          <w:lang w:val="es-ES" w:eastAsia="es-ES"/>
        </w:rPr>
        <w:t>avanza</w:t>
      </w:r>
      <w:r w:rsidR="00DD1808" w:rsidRPr="00FE5001">
        <w:rPr>
          <w:rFonts w:ascii="Times New Roman" w:eastAsia="Times New Roman" w:hAnsi="Times New Roman" w:cs="Times New Roman"/>
          <w:i/>
          <w:iCs/>
          <w:lang w:val="es-ES" w:eastAsia="es-ES"/>
        </w:rPr>
        <w:t>ndo</w:t>
      </w:r>
      <w:r w:rsidRPr="00FE5001">
        <w:rPr>
          <w:rFonts w:ascii="Times New Roman" w:eastAsia="Times New Roman" w:hAnsi="Times New Roman" w:cs="Times New Roman"/>
          <w:i/>
          <w:iCs/>
          <w:lang w:val="es-ES" w:eastAsia="es-ES"/>
        </w:rPr>
        <w:t xml:space="preserve"> en obras para llevar Internet a los mismos</w:t>
      </w:r>
      <w:r w:rsidR="00DD1808" w:rsidRPr="00FE5001">
        <w:rPr>
          <w:rFonts w:ascii="Times New Roman" w:eastAsia="Times New Roman" w:hAnsi="Times New Roman" w:cs="Times New Roman"/>
          <w:i/>
          <w:iCs/>
          <w:lang w:val="es-ES" w:eastAsia="es-ES"/>
        </w:rPr>
        <w:t>.</w:t>
      </w:r>
    </w:p>
    <w:p w14:paraId="147C9EFA"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2BCC9E53" w14:textId="77777777" w:rsidR="00D61A24" w:rsidRPr="00FE5001" w:rsidRDefault="00D61A24" w:rsidP="008E7002">
      <w:pPr>
        <w:spacing w:after="0" w:line="240" w:lineRule="auto"/>
        <w:jc w:val="both"/>
        <w:rPr>
          <w:rFonts w:ascii="Times New Roman" w:eastAsia="Times New Roman" w:hAnsi="Times New Roman" w:cs="Times New Roman"/>
          <w:i/>
          <w:iCs/>
          <w:lang w:val="es-ES" w:eastAsia="es-ES"/>
        </w:rPr>
      </w:pPr>
    </w:p>
    <w:p w14:paraId="1F4CC13B" w14:textId="1730955D" w:rsidR="00714575" w:rsidRPr="00FE5001" w:rsidRDefault="00714575"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Servicios de entretenimientos Local</w:t>
      </w:r>
    </w:p>
    <w:p w14:paraId="619B632D" w14:textId="49A11A26" w:rsidR="00714575" w:rsidRPr="00FE5001" w:rsidRDefault="00714575" w:rsidP="008E7002">
      <w:pPr>
        <w:tabs>
          <w:tab w:val="left" w:pos="0"/>
        </w:tabs>
        <w:suppressAutoHyphens/>
        <w:spacing w:after="0" w:line="240" w:lineRule="auto"/>
        <w:jc w:val="both"/>
        <w:rPr>
          <w:rFonts w:ascii="Times New Roman" w:eastAsia="Times New Roman" w:hAnsi="Times New Roman" w:cs="Times New Roman"/>
          <w:iCs/>
          <w:lang w:val="es-ES" w:eastAsia="es-ES"/>
        </w:rPr>
      </w:pPr>
      <w:r w:rsidRPr="00FE5001">
        <w:rPr>
          <w:rFonts w:ascii="Times New Roman" w:eastAsia="Times New Roman" w:hAnsi="Times New Roman" w:cs="Times New Roman"/>
          <w:i/>
          <w:iCs/>
          <w:lang w:val="es-ES" w:eastAsia="es-ES"/>
        </w:rPr>
        <w:lastRenderedPageBreak/>
        <w:t xml:space="preserve">Modalidad Presencial </w:t>
      </w:r>
    </w:p>
    <w:p w14:paraId="21CC39FA" w14:textId="63F35974" w:rsidR="00E345CC" w:rsidRPr="00FE5001" w:rsidRDefault="00E345CC" w:rsidP="008E7002">
      <w:pPr>
        <w:spacing w:after="0" w:line="240" w:lineRule="auto"/>
        <w:ind w:firstLine="708"/>
        <w:jc w:val="both"/>
        <w:rPr>
          <w:rFonts w:ascii="Times New Roman" w:eastAsia="Times New Roman" w:hAnsi="Times New Roman" w:cs="Times New Roman"/>
          <w:i/>
          <w:iCs/>
          <w:lang w:val="es-ES" w:eastAsia="es-ES"/>
        </w:rPr>
      </w:pPr>
    </w:p>
    <w:p w14:paraId="2BAFE928" w14:textId="7E1660B8" w:rsidR="00100610" w:rsidRPr="00FE5001" w:rsidRDefault="00CA3C00" w:rsidP="008E7002">
      <w:pPr>
        <w:spacing w:after="0" w:line="240" w:lineRule="auto"/>
        <w:jc w:val="both"/>
        <w:rPr>
          <w:rFonts w:ascii="Times New Roman" w:eastAsia="Times New Roman" w:hAnsi="Times New Roman" w:cs="Times New Roman"/>
          <w:i/>
          <w:iCs/>
          <w:highlight w:val="yellow"/>
          <w:lang w:val="es-ES" w:eastAsia="es-ES"/>
        </w:rPr>
      </w:pPr>
      <w:r w:rsidRPr="00FE5001">
        <w:rPr>
          <w:rFonts w:ascii="Times New Roman" w:eastAsia="Times New Roman" w:hAnsi="Times New Roman" w:cs="Times New Roman"/>
          <w:i/>
          <w:iCs/>
          <w:lang w:val="es-ES" w:eastAsia="es-ES"/>
        </w:rPr>
        <w:t xml:space="preserve">Durante el cuarto trimestre, las salas de casinos continuaron operando de forma parcial y acorde a los protocolos dispuestos por las regulaciones vigentes. Desde el mes de abril 2021 las salas fueron cerradas nuevamente al público </w:t>
      </w:r>
      <w:proofErr w:type="gramStart"/>
      <w:r w:rsidRPr="00FE5001">
        <w:rPr>
          <w:rFonts w:ascii="Times New Roman" w:eastAsia="Times New Roman" w:hAnsi="Times New Roman" w:cs="Times New Roman"/>
          <w:i/>
          <w:iCs/>
          <w:lang w:val="es-ES" w:eastAsia="es-ES"/>
        </w:rPr>
        <w:t>en relación a</w:t>
      </w:r>
      <w:proofErr w:type="gramEnd"/>
      <w:r w:rsidRPr="00FE5001">
        <w:rPr>
          <w:rFonts w:ascii="Times New Roman" w:eastAsia="Times New Roman" w:hAnsi="Times New Roman" w:cs="Times New Roman"/>
          <w:i/>
          <w:iCs/>
          <w:lang w:val="es-ES" w:eastAsia="es-ES"/>
        </w:rPr>
        <w:t xml:space="preserve"> las medidas de aislamiento nuevamente impuestas por el </w:t>
      </w:r>
      <w:r w:rsidR="002E0733" w:rsidRPr="00FE5001">
        <w:rPr>
          <w:rFonts w:ascii="Times New Roman" w:eastAsia="Times New Roman" w:hAnsi="Times New Roman" w:cs="Times New Roman"/>
          <w:i/>
          <w:iCs/>
          <w:lang w:val="es-ES" w:eastAsia="es-ES"/>
        </w:rPr>
        <w:t>g</w:t>
      </w:r>
      <w:r w:rsidRPr="00FE5001">
        <w:rPr>
          <w:rFonts w:ascii="Times New Roman" w:eastAsia="Times New Roman" w:hAnsi="Times New Roman" w:cs="Times New Roman"/>
          <w:i/>
          <w:iCs/>
          <w:lang w:val="es-ES" w:eastAsia="es-ES"/>
        </w:rPr>
        <w:t xml:space="preserve">obierno </w:t>
      </w:r>
      <w:r w:rsidR="002E0733" w:rsidRPr="00FE5001">
        <w:rPr>
          <w:rFonts w:ascii="Times New Roman" w:eastAsia="Times New Roman" w:hAnsi="Times New Roman" w:cs="Times New Roman"/>
          <w:i/>
          <w:iCs/>
          <w:lang w:val="es-ES" w:eastAsia="es-ES"/>
        </w:rPr>
        <w:t>n</w:t>
      </w:r>
      <w:r w:rsidRPr="00FE5001">
        <w:rPr>
          <w:rFonts w:ascii="Times New Roman" w:eastAsia="Times New Roman" w:hAnsi="Times New Roman" w:cs="Times New Roman"/>
          <w:i/>
          <w:iCs/>
          <w:lang w:val="es-ES" w:eastAsia="es-ES"/>
        </w:rPr>
        <w:t>acional</w:t>
      </w:r>
      <w:r w:rsidR="002E0733" w:rsidRPr="00FE5001">
        <w:rPr>
          <w:rFonts w:ascii="Times New Roman" w:eastAsia="Times New Roman" w:hAnsi="Times New Roman" w:cs="Times New Roman"/>
          <w:i/>
          <w:iCs/>
          <w:lang w:val="es-ES" w:eastAsia="es-ES"/>
        </w:rPr>
        <w:t>,</w:t>
      </w:r>
      <w:r w:rsidRPr="00FE5001">
        <w:rPr>
          <w:rFonts w:ascii="Times New Roman" w:eastAsia="Times New Roman" w:hAnsi="Times New Roman" w:cs="Times New Roman"/>
          <w:i/>
          <w:iCs/>
          <w:lang w:val="es-ES" w:eastAsia="es-ES"/>
        </w:rPr>
        <w:t xml:space="preserve"> volviendo a su reapertura hacia fines del mes de julio en la Provincia de Buenos Aires</w:t>
      </w:r>
      <w:r w:rsidR="00CD0159" w:rsidRPr="00FE5001">
        <w:rPr>
          <w:rFonts w:ascii="Times New Roman" w:eastAsia="Times New Roman" w:hAnsi="Times New Roman" w:cs="Times New Roman"/>
          <w:i/>
          <w:iCs/>
          <w:lang w:val="es-ES" w:eastAsia="es-ES"/>
        </w:rPr>
        <w:t>.</w:t>
      </w:r>
      <w:r w:rsidRPr="00FE5001">
        <w:rPr>
          <w:rFonts w:ascii="Times New Roman" w:eastAsia="Times New Roman" w:hAnsi="Times New Roman" w:cs="Times New Roman"/>
          <w:i/>
          <w:iCs/>
          <w:lang w:val="es-ES" w:eastAsia="es-ES"/>
        </w:rPr>
        <w:t xml:space="preserve"> Los indicadores actuales arrojan una afluencia del público de aproximadamente un 50% inferior al mismo período del año anterior, luego hacia fines de </w:t>
      </w:r>
      <w:r w:rsidR="003F3A64" w:rsidRPr="00FE5001">
        <w:rPr>
          <w:rFonts w:ascii="Times New Roman" w:eastAsia="Times New Roman" w:hAnsi="Times New Roman" w:cs="Times New Roman"/>
          <w:i/>
          <w:iCs/>
          <w:lang w:val="es-ES" w:eastAsia="es-ES"/>
        </w:rPr>
        <w:t>octubre</w:t>
      </w:r>
      <w:r w:rsidRPr="00FE5001">
        <w:rPr>
          <w:rFonts w:ascii="Times New Roman" w:eastAsia="Times New Roman" w:hAnsi="Times New Roman" w:cs="Times New Roman"/>
          <w:i/>
          <w:iCs/>
          <w:lang w:val="es-ES" w:eastAsia="es-ES"/>
        </w:rPr>
        <w:t xml:space="preserve"> el aforo era de 80% lo cual no permitió el uso de las instalaciones en </w:t>
      </w:r>
      <w:r w:rsidR="002C7B07">
        <w:rPr>
          <w:rFonts w:ascii="Times New Roman" w:eastAsia="Times New Roman" w:hAnsi="Times New Roman" w:cs="Times New Roman"/>
          <w:i/>
          <w:iCs/>
          <w:lang w:val="es-ES" w:eastAsia="es-ES"/>
        </w:rPr>
        <w:t>una mayor proporción</w:t>
      </w:r>
      <w:r w:rsidR="00CD0159" w:rsidRPr="00FE5001">
        <w:rPr>
          <w:rFonts w:ascii="Times New Roman" w:eastAsia="Times New Roman" w:hAnsi="Times New Roman" w:cs="Times New Roman"/>
          <w:i/>
          <w:iCs/>
          <w:lang w:val="es-ES" w:eastAsia="es-ES"/>
        </w:rPr>
        <w:t>.</w:t>
      </w:r>
      <w:r w:rsidRPr="00FE5001">
        <w:rPr>
          <w:rFonts w:ascii="Times New Roman" w:eastAsia="Times New Roman" w:hAnsi="Times New Roman" w:cs="Times New Roman"/>
          <w:i/>
          <w:iCs/>
          <w:lang w:val="es-ES" w:eastAsia="es-ES"/>
        </w:rPr>
        <w:t xml:space="preserve"> </w:t>
      </w:r>
      <w:r w:rsidR="00CD0159" w:rsidRPr="00FE5001">
        <w:rPr>
          <w:rFonts w:ascii="Times New Roman" w:eastAsia="Times New Roman" w:hAnsi="Times New Roman" w:cs="Times New Roman"/>
          <w:i/>
          <w:iCs/>
          <w:lang w:val="es-ES" w:eastAsia="es-ES"/>
        </w:rPr>
        <w:t>E</w:t>
      </w:r>
      <w:r w:rsidRPr="00FE5001">
        <w:rPr>
          <w:rFonts w:ascii="Times New Roman" w:eastAsia="Times New Roman" w:hAnsi="Times New Roman" w:cs="Times New Roman"/>
          <w:i/>
          <w:iCs/>
          <w:lang w:val="es-ES" w:eastAsia="es-ES"/>
        </w:rPr>
        <w:t>n términos de recaudación,</w:t>
      </w:r>
      <w:r w:rsidR="00CD0159" w:rsidRPr="00FE5001">
        <w:rPr>
          <w:rFonts w:ascii="Times New Roman" w:eastAsia="Times New Roman" w:hAnsi="Times New Roman" w:cs="Times New Roman"/>
          <w:i/>
          <w:iCs/>
          <w:lang w:val="es-ES" w:eastAsia="es-ES"/>
        </w:rPr>
        <w:t xml:space="preserve"> la misma</w:t>
      </w:r>
      <w:r w:rsidRPr="00FE5001">
        <w:rPr>
          <w:rFonts w:ascii="Times New Roman" w:eastAsia="Times New Roman" w:hAnsi="Times New Roman" w:cs="Times New Roman"/>
          <w:i/>
          <w:iCs/>
          <w:lang w:val="es-ES" w:eastAsia="es-ES"/>
        </w:rPr>
        <w:t xml:space="preserve"> fue mayor al trimestre anterior teniendo en cuenta que las salas estuvieron operativas de forma parcial</w:t>
      </w:r>
      <w:r w:rsidR="002C7B07">
        <w:rPr>
          <w:rFonts w:ascii="Times New Roman" w:eastAsia="Times New Roman" w:hAnsi="Times New Roman" w:cs="Times New Roman"/>
          <w:i/>
          <w:iCs/>
          <w:lang w:val="es-ES" w:eastAsia="es-ES"/>
        </w:rPr>
        <w:t xml:space="preserve">. Dicho </w:t>
      </w:r>
      <w:proofErr w:type="gramStart"/>
      <w:r w:rsidR="002C7B07">
        <w:rPr>
          <w:rFonts w:ascii="Times New Roman" w:eastAsia="Times New Roman" w:hAnsi="Times New Roman" w:cs="Times New Roman"/>
          <w:i/>
          <w:iCs/>
          <w:lang w:val="es-ES" w:eastAsia="es-ES"/>
        </w:rPr>
        <w:t xml:space="preserve">esto,  </w:t>
      </w:r>
      <w:r w:rsidRPr="00FE5001">
        <w:rPr>
          <w:rFonts w:ascii="Times New Roman" w:eastAsia="Times New Roman" w:hAnsi="Times New Roman" w:cs="Times New Roman"/>
          <w:i/>
          <w:iCs/>
          <w:lang w:val="es-ES" w:eastAsia="es-ES"/>
        </w:rPr>
        <w:t>la</w:t>
      </w:r>
      <w:proofErr w:type="gramEnd"/>
      <w:r w:rsidRPr="00FE5001">
        <w:rPr>
          <w:rFonts w:ascii="Times New Roman" w:eastAsia="Times New Roman" w:hAnsi="Times New Roman" w:cs="Times New Roman"/>
          <w:i/>
          <w:iCs/>
          <w:lang w:val="es-ES" w:eastAsia="es-ES"/>
        </w:rPr>
        <w:t xml:space="preserve"> nueva modalidad frente a la pandemia </w:t>
      </w:r>
      <w:r w:rsidR="002C7B07">
        <w:rPr>
          <w:rFonts w:ascii="Times New Roman" w:eastAsia="Times New Roman" w:hAnsi="Times New Roman" w:cs="Times New Roman"/>
          <w:i/>
          <w:iCs/>
          <w:lang w:val="es-ES" w:eastAsia="es-ES"/>
        </w:rPr>
        <w:t>ha reducido</w:t>
      </w:r>
      <w:r w:rsidRPr="00FE5001">
        <w:rPr>
          <w:rFonts w:ascii="Times New Roman" w:eastAsia="Times New Roman" w:hAnsi="Times New Roman" w:cs="Times New Roman"/>
          <w:i/>
          <w:iCs/>
          <w:lang w:val="es-ES" w:eastAsia="es-ES"/>
        </w:rPr>
        <w:t xml:space="preserve"> la operación de máquinas activas (establecida en el aforo que indica la actual regulación) lo que </w:t>
      </w:r>
      <w:r w:rsidR="002C7B07">
        <w:rPr>
          <w:rFonts w:ascii="Times New Roman" w:eastAsia="Times New Roman" w:hAnsi="Times New Roman" w:cs="Times New Roman"/>
          <w:i/>
          <w:iCs/>
          <w:lang w:val="es-ES" w:eastAsia="es-ES"/>
        </w:rPr>
        <w:t xml:space="preserve">ha traído como  </w:t>
      </w:r>
      <w:r w:rsidRPr="00FE5001">
        <w:rPr>
          <w:rFonts w:ascii="Times New Roman" w:eastAsia="Times New Roman" w:hAnsi="Times New Roman" w:cs="Times New Roman"/>
          <w:i/>
          <w:iCs/>
          <w:lang w:val="es-ES" w:eastAsia="es-ES"/>
        </w:rPr>
        <w:t>consecuencia la caída del volumen de juegos en las salas</w:t>
      </w:r>
      <w:r w:rsidR="002C7B07">
        <w:rPr>
          <w:rFonts w:ascii="Times New Roman" w:eastAsia="Times New Roman" w:hAnsi="Times New Roman" w:cs="Times New Roman"/>
          <w:i/>
          <w:iCs/>
          <w:lang w:val="es-ES" w:eastAsia="es-ES"/>
        </w:rPr>
        <w:t xml:space="preserve"> </w:t>
      </w:r>
      <w:r w:rsidR="002C7B07" w:rsidRPr="00C35966">
        <w:rPr>
          <w:rFonts w:ascii="Times New Roman" w:eastAsia="Times New Roman" w:hAnsi="Times New Roman" w:cs="Times New Roman"/>
          <w:i/>
          <w:iCs/>
          <w:lang w:val="es-ES" w:eastAsia="es-ES"/>
        </w:rPr>
        <w:t>, pero que de a poco y de manera sostenida hasta el cierre de esta Memoria ha venido teniendo un crecimiento sostenido.</w:t>
      </w:r>
      <w:r w:rsidRPr="00FE5001">
        <w:rPr>
          <w:rFonts w:ascii="Times New Roman" w:eastAsia="Times New Roman" w:hAnsi="Times New Roman" w:cs="Times New Roman"/>
          <w:i/>
          <w:iCs/>
          <w:lang w:val="es-ES" w:eastAsia="es-ES"/>
        </w:rPr>
        <w:t>.</w:t>
      </w:r>
    </w:p>
    <w:p w14:paraId="1690683E" w14:textId="77777777" w:rsidR="00100610" w:rsidRPr="00FE5001" w:rsidRDefault="00100610" w:rsidP="008E7002">
      <w:pPr>
        <w:spacing w:after="0" w:line="240" w:lineRule="auto"/>
        <w:jc w:val="both"/>
        <w:rPr>
          <w:rFonts w:ascii="Times New Roman" w:eastAsia="Times New Roman" w:hAnsi="Times New Roman" w:cs="Times New Roman"/>
          <w:i/>
          <w:iCs/>
          <w:highlight w:val="yellow"/>
          <w:lang w:val="es-ES" w:eastAsia="es-ES"/>
        </w:rPr>
      </w:pPr>
    </w:p>
    <w:p w14:paraId="3CFBDBA7" w14:textId="12A532D6" w:rsidR="00100610" w:rsidRPr="00FE5001" w:rsidRDefault="00100610"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 xml:space="preserve">• Con respecto al negocio de provisión de servicios informáticos y equipos para el </w:t>
      </w:r>
      <w:proofErr w:type="spellStart"/>
      <w:r w:rsidRPr="00FE5001">
        <w:rPr>
          <w:rFonts w:ascii="Times New Roman" w:eastAsia="Times New Roman" w:hAnsi="Times New Roman" w:cs="Times New Roman"/>
          <w:i/>
          <w:iCs/>
          <w:lang w:val="es-ES" w:eastAsia="es-ES"/>
        </w:rPr>
        <w:t>IPLyC</w:t>
      </w:r>
      <w:proofErr w:type="spellEnd"/>
      <w:r w:rsidRPr="00FE5001">
        <w:rPr>
          <w:rFonts w:ascii="Times New Roman" w:eastAsia="Times New Roman" w:hAnsi="Times New Roman" w:cs="Times New Roman"/>
          <w:i/>
          <w:iCs/>
          <w:lang w:val="es-ES" w:eastAsia="es-ES"/>
        </w:rPr>
        <w:t xml:space="preserve">, </w:t>
      </w:r>
      <w:r w:rsidR="00CD0159" w:rsidRPr="00FE5001">
        <w:rPr>
          <w:rFonts w:ascii="Times New Roman" w:eastAsia="Times New Roman" w:hAnsi="Times New Roman" w:cs="Times New Roman"/>
          <w:i/>
          <w:iCs/>
          <w:lang w:val="es-ES" w:eastAsia="es-ES"/>
        </w:rPr>
        <w:t>el Gobierno de la Provincia de Buenos Aires</w:t>
      </w:r>
      <w:r w:rsidR="00EE25AF" w:rsidRPr="00FE5001">
        <w:rPr>
          <w:rFonts w:ascii="Times New Roman" w:eastAsia="Times New Roman" w:hAnsi="Times New Roman" w:cs="Times New Roman"/>
          <w:i/>
          <w:iCs/>
          <w:lang w:val="es-ES" w:eastAsia="es-ES"/>
        </w:rPr>
        <w:t>,</w:t>
      </w:r>
      <w:r w:rsidR="00CD0159" w:rsidRPr="00FE5001">
        <w:rPr>
          <w:rFonts w:ascii="Times New Roman" w:eastAsia="Times New Roman" w:hAnsi="Times New Roman" w:cs="Times New Roman"/>
          <w:i/>
          <w:iCs/>
          <w:lang w:val="es-ES" w:eastAsia="es-ES"/>
        </w:rPr>
        <w:t xml:space="preserve"> mediante el decreto </w:t>
      </w:r>
      <w:proofErr w:type="spellStart"/>
      <w:r w:rsidR="00CD0159" w:rsidRPr="00FE5001">
        <w:rPr>
          <w:rFonts w:ascii="Times New Roman" w:eastAsia="Times New Roman" w:hAnsi="Times New Roman" w:cs="Times New Roman"/>
          <w:i/>
          <w:iCs/>
          <w:lang w:val="es-ES" w:eastAsia="es-ES"/>
        </w:rPr>
        <w:t>N°</w:t>
      </w:r>
      <w:proofErr w:type="spellEnd"/>
      <w:r w:rsidR="00CD0159" w:rsidRPr="00FE5001">
        <w:rPr>
          <w:rFonts w:ascii="Times New Roman" w:eastAsia="Times New Roman" w:hAnsi="Times New Roman" w:cs="Times New Roman"/>
          <w:i/>
          <w:iCs/>
          <w:lang w:val="es-ES" w:eastAsia="es-ES"/>
        </w:rPr>
        <w:t xml:space="preserve"> 182/2019</w:t>
      </w:r>
      <w:r w:rsidR="00EE25AF" w:rsidRPr="00FE5001">
        <w:rPr>
          <w:rFonts w:ascii="Times New Roman" w:eastAsia="Times New Roman" w:hAnsi="Times New Roman" w:cs="Times New Roman"/>
          <w:i/>
          <w:iCs/>
          <w:lang w:val="es-ES" w:eastAsia="es-ES"/>
        </w:rPr>
        <w:t>,</w:t>
      </w:r>
      <w:r w:rsidR="00CD0159" w:rsidRPr="00FE5001">
        <w:rPr>
          <w:rFonts w:ascii="Times New Roman" w:eastAsia="Times New Roman" w:hAnsi="Times New Roman" w:cs="Times New Roman"/>
          <w:i/>
          <w:iCs/>
          <w:lang w:val="es-ES" w:eastAsia="es-ES"/>
        </w:rPr>
        <w:t xml:space="preserve"> aprobó el llamado a </w:t>
      </w:r>
      <w:r w:rsidRPr="00FE5001">
        <w:rPr>
          <w:rFonts w:ascii="Times New Roman" w:eastAsia="Times New Roman" w:hAnsi="Times New Roman" w:cs="Times New Roman"/>
          <w:i/>
          <w:iCs/>
          <w:lang w:val="es-ES" w:eastAsia="es-ES"/>
        </w:rPr>
        <w:t xml:space="preserve">la Licitación Pública </w:t>
      </w:r>
      <w:proofErr w:type="spellStart"/>
      <w:r w:rsidRPr="00FE5001">
        <w:rPr>
          <w:rFonts w:ascii="Times New Roman" w:eastAsia="Times New Roman" w:hAnsi="Times New Roman" w:cs="Times New Roman"/>
          <w:i/>
          <w:iCs/>
          <w:lang w:val="es-ES" w:eastAsia="es-ES"/>
        </w:rPr>
        <w:t>N°</w:t>
      </w:r>
      <w:proofErr w:type="spellEnd"/>
      <w:r w:rsidRPr="00FE5001">
        <w:rPr>
          <w:rFonts w:ascii="Times New Roman" w:eastAsia="Times New Roman" w:hAnsi="Times New Roman" w:cs="Times New Roman"/>
          <w:i/>
          <w:iCs/>
          <w:lang w:val="es-ES" w:eastAsia="es-ES"/>
        </w:rPr>
        <w:t xml:space="preserve"> 1/18 </w:t>
      </w:r>
      <w:bookmarkStart w:id="9" w:name="_Hlk92393976"/>
      <w:r w:rsidRPr="00FE5001">
        <w:rPr>
          <w:rFonts w:ascii="Times New Roman" w:eastAsia="Times New Roman" w:hAnsi="Times New Roman" w:cs="Times New Roman"/>
          <w:i/>
          <w:iCs/>
          <w:lang w:val="es-ES" w:eastAsia="es-ES"/>
        </w:rPr>
        <w:t>para la contratación de un Servicio Integral para los Casinos de la Provincia de Buenos Aires</w:t>
      </w:r>
      <w:bookmarkEnd w:id="9"/>
      <w:r w:rsidR="00EE25AF" w:rsidRPr="00FE5001">
        <w:rPr>
          <w:rFonts w:ascii="Times New Roman" w:eastAsia="Times New Roman" w:hAnsi="Times New Roman" w:cs="Times New Roman"/>
          <w:i/>
          <w:iCs/>
          <w:lang w:val="es-ES" w:eastAsia="es-ES"/>
        </w:rPr>
        <w:t xml:space="preserve">. Como resultado de dicho proceso se </w:t>
      </w:r>
      <w:r w:rsidRPr="00FE5001">
        <w:rPr>
          <w:rFonts w:ascii="Times New Roman" w:eastAsia="Times New Roman" w:hAnsi="Times New Roman" w:cs="Times New Roman"/>
          <w:i/>
          <w:iCs/>
          <w:lang w:val="es-ES" w:eastAsia="es-ES"/>
        </w:rPr>
        <w:t>adjudic</w:t>
      </w:r>
      <w:r w:rsidR="00EE25AF" w:rsidRPr="00FE5001">
        <w:rPr>
          <w:rFonts w:ascii="Times New Roman" w:eastAsia="Times New Roman" w:hAnsi="Times New Roman" w:cs="Times New Roman"/>
          <w:i/>
          <w:iCs/>
          <w:lang w:val="es-ES" w:eastAsia="es-ES"/>
        </w:rPr>
        <w:t>ó</w:t>
      </w:r>
      <w:r w:rsidRPr="00FE5001">
        <w:rPr>
          <w:rFonts w:ascii="Times New Roman" w:eastAsia="Times New Roman" w:hAnsi="Times New Roman" w:cs="Times New Roman"/>
          <w:i/>
          <w:iCs/>
          <w:lang w:val="es-ES" w:eastAsia="es-ES"/>
        </w:rPr>
        <w:t xml:space="preserve"> a Boldt S.A. el renglón </w:t>
      </w:r>
      <w:proofErr w:type="spellStart"/>
      <w:r w:rsidRPr="00FE5001">
        <w:rPr>
          <w:rFonts w:ascii="Times New Roman" w:eastAsia="Times New Roman" w:hAnsi="Times New Roman" w:cs="Times New Roman"/>
          <w:i/>
          <w:iCs/>
          <w:lang w:val="es-ES" w:eastAsia="es-ES"/>
        </w:rPr>
        <w:t>N°</w:t>
      </w:r>
      <w:proofErr w:type="spellEnd"/>
      <w:r w:rsidRPr="00FE5001">
        <w:rPr>
          <w:rFonts w:ascii="Times New Roman" w:eastAsia="Times New Roman" w:hAnsi="Times New Roman" w:cs="Times New Roman"/>
          <w:i/>
          <w:iCs/>
          <w:lang w:val="es-ES" w:eastAsia="es-ES"/>
        </w:rPr>
        <w:t xml:space="preserve"> 1 conformado por el Casino de Tigre y Casino de Pinamar por el término de 20 años, con posibilidad de prórroga a opción del </w:t>
      </w:r>
      <w:proofErr w:type="spellStart"/>
      <w:r w:rsidRPr="00FE5001">
        <w:rPr>
          <w:rFonts w:ascii="Times New Roman" w:eastAsia="Times New Roman" w:hAnsi="Times New Roman" w:cs="Times New Roman"/>
          <w:i/>
          <w:iCs/>
          <w:lang w:val="es-ES" w:eastAsia="es-ES"/>
        </w:rPr>
        <w:t>IPLyC</w:t>
      </w:r>
      <w:proofErr w:type="spellEnd"/>
      <w:r w:rsidRPr="00FE5001">
        <w:rPr>
          <w:rFonts w:ascii="Times New Roman" w:eastAsia="Times New Roman" w:hAnsi="Times New Roman" w:cs="Times New Roman"/>
          <w:i/>
          <w:iCs/>
          <w:lang w:val="es-ES" w:eastAsia="es-ES"/>
        </w:rPr>
        <w:t xml:space="preserve"> por 1 año adicional. </w:t>
      </w:r>
    </w:p>
    <w:p w14:paraId="25267A4C" w14:textId="77777777" w:rsidR="00100610" w:rsidRPr="00FE5001" w:rsidRDefault="00100610" w:rsidP="008E7002">
      <w:pPr>
        <w:spacing w:after="0" w:line="240" w:lineRule="auto"/>
        <w:jc w:val="both"/>
        <w:rPr>
          <w:rFonts w:ascii="Times New Roman" w:eastAsia="Times New Roman" w:hAnsi="Times New Roman" w:cs="Times New Roman"/>
          <w:i/>
          <w:iCs/>
          <w:lang w:val="es-ES" w:eastAsia="es-ES"/>
        </w:rPr>
      </w:pPr>
    </w:p>
    <w:p w14:paraId="502E8D46" w14:textId="0AD85F1E" w:rsidR="00100610" w:rsidRPr="002B75CD" w:rsidRDefault="007E2377"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Finalmente, e</w:t>
      </w:r>
      <w:r w:rsidR="00EE25AF" w:rsidRPr="00FE5001">
        <w:rPr>
          <w:rFonts w:ascii="Times New Roman" w:eastAsia="Times New Roman" w:hAnsi="Times New Roman" w:cs="Times New Roman"/>
          <w:i/>
          <w:iCs/>
          <w:lang w:val="es-ES" w:eastAsia="es-ES"/>
        </w:rPr>
        <w:t xml:space="preserve">l 20 de </w:t>
      </w:r>
      <w:r w:rsidR="00CA3C00" w:rsidRPr="00FE5001">
        <w:rPr>
          <w:rFonts w:ascii="Times New Roman" w:eastAsia="Times New Roman" w:hAnsi="Times New Roman" w:cs="Times New Roman"/>
          <w:i/>
          <w:iCs/>
          <w:lang w:val="es-ES" w:eastAsia="es-ES"/>
        </w:rPr>
        <w:t>agosto de 2021</w:t>
      </w:r>
      <w:r w:rsidR="00100610" w:rsidRPr="00FE5001">
        <w:rPr>
          <w:rFonts w:ascii="Times New Roman" w:eastAsia="Times New Roman" w:hAnsi="Times New Roman" w:cs="Times New Roman"/>
          <w:i/>
          <w:iCs/>
          <w:lang w:val="es-ES" w:eastAsia="es-ES"/>
        </w:rPr>
        <w:t xml:space="preserve">, la Sociedad ha procedido a la suscripción del correspondiente contrato con el </w:t>
      </w:r>
      <w:proofErr w:type="spellStart"/>
      <w:r w:rsidR="00100610" w:rsidRPr="00FE5001">
        <w:rPr>
          <w:rFonts w:ascii="Times New Roman" w:eastAsia="Times New Roman" w:hAnsi="Times New Roman" w:cs="Times New Roman"/>
          <w:i/>
          <w:iCs/>
          <w:lang w:val="es-ES" w:eastAsia="es-ES"/>
        </w:rPr>
        <w:t>IPLyC</w:t>
      </w:r>
      <w:proofErr w:type="spellEnd"/>
      <w:r w:rsidR="00100610" w:rsidRPr="00FE5001">
        <w:rPr>
          <w:rFonts w:ascii="Times New Roman" w:eastAsia="Times New Roman" w:hAnsi="Times New Roman" w:cs="Times New Roman"/>
          <w:i/>
          <w:iCs/>
          <w:lang w:val="es-ES" w:eastAsia="es-ES"/>
        </w:rPr>
        <w:t xml:space="preserve"> cuyo objeto manifiesta las obligaciones asumidas por la Sociedad en relación los términos y condiciones </w:t>
      </w:r>
      <w:r w:rsidR="00C804D6" w:rsidRPr="00FE5001">
        <w:rPr>
          <w:rFonts w:ascii="Times New Roman" w:eastAsia="Times New Roman" w:hAnsi="Times New Roman" w:cs="Times New Roman"/>
          <w:i/>
          <w:iCs/>
          <w:lang w:val="es-ES" w:eastAsia="es-ES"/>
        </w:rPr>
        <w:t xml:space="preserve">de la licitación </w:t>
      </w:r>
      <w:r w:rsidR="00100610" w:rsidRPr="00FE5001">
        <w:rPr>
          <w:rFonts w:ascii="Times New Roman" w:eastAsia="Times New Roman" w:hAnsi="Times New Roman" w:cs="Times New Roman"/>
          <w:i/>
          <w:iCs/>
          <w:lang w:val="es-ES" w:eastAsia="es-ES"/>
        </w:rPr>
        <w:t xml:space="preserve">para el inicio de las obras e inversiones y </w:t>
      </w:r>
      <w:r w:rsidR="00100610" w:rsidRPr="002B75CD">
        <w:rPr>
          <w:rFonts w:ascii="Times New Roman" w:eastAsia="Times New Roman" w:hAnsi="Times New Roman" w:cs="Times New Roman"/>
          <w:i/>
          <w:iCs/>
          <w:lang w:val="es-ES" w:eastAsia="es-ES"/>
        </w:rPr>
        <w:t>posterior inicio de operación para las salas de Casino de Tigre y Casino de Pinamar.</w:t>
      </w:r>
    </w:p>
    <w:p w14:paraId="46FBC049" w14:textId="430C92C0" w:rsidR="002C7B07" w:rsidRPr="002B75CD" w:rsidRDefault="002C7B07" w:rsidP="008E7002">
      <w:pPr>
        <w:spacing w:after="0" w:line="240" w:lineRule="auto"/>
        <w:jc w:val="both"/>
        <w:rPr>
          <w:rFonts w:ascii="Times New Roman" w:eastAsia="Times New Roman" w:hAnsi="Times New Roman" w:cs="Times New Roman"/>
          <w:i/>
          <w:iCs/>
          <w:lang w:val="es-ES" w:eastAsia="es-ES"/>
        </w:rPr>
      </w:pPr>
    </w:p>
    <w:p w14:paraId="5466AE9C" w14:textId="55E0D7B5" w:rsidR="002C7B07" w:rsidRPr="002B75CD" w:rsidRDefault="002C7B07" w:rsidP="008E7002">
      <w:pPr>
        <w:spacing w:after="0" w:line="240" w:lineRule="auto"/>
        <w:jc w:val="both"/>
        <w:rPr>
          <w:rFonts w:ascii="Times New Roman" w:eastAsia="Times New Roman" w:hAnsi="Times New Roman" w:cs="Times New Roman"/>
          <w:i/>
          <w:iCs/>
          <w:lang w:val="es-ES" w:eastAsia="es-ES"/>
        </w:rPr>
      </w:pPr>
      <w:r w:rsidRPr="002B75CD">
        <w:rPr>
          <w:rFonts w:ascii="Times New Roman" w:eastAsia="Times New Roman" w:hAnsi="Times New Roman" w:cs="Times New Roman"/>
          <w:i/>
          <w:iCs/>
          <w:lang w:val="es-ES" w:eastAsia="es-ES"/>
        </w:rPr>
        <w:t xml:space="preserve">Desde la fecha de adjudicación y hasta el 31 de diciembre el servicio ha seguido siendo prestado por </w:t>
      </w:r>
      <w:proofErr w:type="spellStart"/>
      <w:r w:rsidRPr="002B75CD">
        <w:rPr>
          <w:rFonts w:ascii="Times New Roman" w:eastAsia="Times New Roman" w:hAnsi="Times New Roman" w:cs="Times New Roman"/>
          <w:i/>
          <w:iCs/>
          <w:lang w:val="es-ES" w:eastAsia="es-ES"/>
        </w:rPr>
        <w:t>Trilenium</w:t>
      </w:r>
      <w:proofErr w:type="spellEnd"/>
      <w:r w:rsidRPr="002B75CD">
        <w:rPr>
          <w:rFonts w:ascii="Times New Roman" w:eastAsia="Times New Roman" w:hAnsi="Times New Roman" w:cs="Times New Roman"/>
          <w:i/>
          <w:iCs/>
          <w:lang w:val="es-ES" w:eastAsia="es-ES"/>
        </w:rPr>
        <w:t xml:space="preserve"> SA y a partir del 1 de </w:t>
      </w:r>
      <w:r w:rsidR="002B75CD">
        <w:rPr>
          <w:rFonts w:ascii="Times New Roman" w:eastAsia="Times New Roman" w:hAnsi="Times New Roman" w:cs="Times New Roman"/>
          <w:i/>
          <w:iCs/>
          <w:lang w:val="es-ES" w:eastAsia="es-ES"/>
        </w:rPr>
        <w:t>e</w:t>
      </w:r>
      <w:r w:rsidRPr="002B75CD">
        <w:rPr>
          <w:rFonts w:ascii="Times New Roman" w:eastAsia="Times New Roman" w:hAnsi="Times New Roman" w:cs="Times New Roman"/>
          <w:i/>
          <w:iCs/>
          <w:lang w:val="es-ES" w:eastAsia="es-ES"/>
        </w:rPr>
        <w:t>nero de este año comenzará a ser prestado por Boldt SA hasta la finalización del contrato.</w:t>
      </w:r>
    </w:p>
    <w:p w14:paraId="24EEA434" w14:textId="77777777" w:rsidR="00100610" w:rsidRPr="002B75CD" w:rsidRDefault="00100610" w:rsidP="008E7002">
      <w:pPr>
        <w:spacing w:after="0" w:line="240" w:lineRule="auto"/>
        <w:jc w:val="both"/>
        <w:rPr>
          <w:rFonts w:ascii="Times New Roman" w:eastAsia="Times New Roman" w:hAnsi="Times New Roman" w:cs="Times New Roman"/>
          <w:i/>
          <w:iCs/>
          <w:lang w:val="es-ES" w:eastAsia="es-ES"/>
        </w:rPr>
      </w:pPr>
    </w:p>
    <w:p w14:paraId="721E1656" w14:textId="29C5BC6B" w:rsidR="00100610" w:rsidRPr="00FE5001" w:rsidRDefault="00100610" w:rsidP="008E7002">
      <w:pPr>
        <w:spacing w:after="0" w:line="240" w:lineRule="auto"/>
        <w:jc w:val="both"/>
        <w:rPr>
          <w:rFonts w:ascii="Times New Roman" w:eastAsia="Times New Roman" w:hAnsi="Times New Roman" w:cs="Times New Roman"/>
          <w:i/>
          <w:iCs/>
          <w:lang w:val="es-ES" w:eastAsia="es-ES"/>
        </w:rPr>
      </w:pPr>
      <w:r w:rsidRPr="002B75CD">
        <w:rPr>
          <w:rFonts w:ascii="Times New Roman" w:eastAsia="Times New Roman" w:hAnsi="Times New Roman" w:cs="Times New Roman"/>
          <w:i/>
          <w:iCs/>
          <w:lang w:val="es-ES" w:eastAsia="es-ES"/>
        </w:rPr>
        <w:t>La celebración de este nuevo contrato marca</w:t>
      </w:r>
      <w:r w:rsidRPr="00FE5001">
        <w:rPr>
          <w:rFonts w:ascii="Times New Roman" w:eastAsia="Times New Roman" w:hAnsi="Times New Roman" w:cs="Times New Roman"/>
          <w:i/>
          <w:iCs/>
          <w:lang w:val="es-ES" w:eastAsia="es-ES"/>
        </w:rPr>
        <w:t xml:space="preserve"> un hito de gran importancia en tanto muestra una vez más la capacidad y solidez de la Sociedad en un mercado altamente competitivo, garantizando su continuidad por los próximos 20 años.</w:t>
      </w:r>
    </w:p>
    <w:p w14:paraId="074BCAF8" w14:textId="77777777" w:rsidR="00100610" w:rsidRPr="00FE5001" w:rsidRDefault="00100610" w:rsidP="008E7002">
      <w:pPr>
        <w:spacing w:after="0" w:line="240" w:lineRule="auto"/>
        <w:jc w:val="both"/>
        <w:rPr>
          <w:rFonts w:ascii="Times New Roman" w:eastAsia="Times New Roman" w:hAnsi="Times New Roman" w:cs="Times New Roman"/>
          <w:i/>
          <w:iCs/>
          <w:lang w:val="es-ES" w:eastAsia="es-ES"/>
        </w:rPr>
      </w:pPr>
    </w:p>
    <w:p w14:paraId="7C981FE3" w14:textId="77777777" w:rsidR="00100610" w:rsidRPr="00FE5001" w:rsidRDefault="00100610" w:rsidP="008E7002">
      <w:pPr>
        <w:spacing w:after="0" w:line="240" w:lineRule="auto"/>
        <w:jc w:val="both"/>
        <w:rPr>
          <w:rFonts w:ascii="Times New Roman" w:eastAsia="Times New Roman" w:hAnsi="Times New Roman" w:cs="Times New Roman"/>
          <w:i/>
          <w:iCs/>
          <w:lang w:val="es-ES" w:eastAsia="es-ES"/>
        </w:rPr>
      </w:pPr>
      <w:r w:rsidRPr="00FE5001">
        <w:rPr>
          <w:rFonts w:ascii="Times New Roman" w:eastAsia="Times New Roman" w:hAnsi="Times New Roman" w:cs="Times New Roman"/>
          <w:i/>
          <w:iCs/>
          <w:lang w:val="es-ES" w:eastAsia="es-ES"/>
        </w:rPr>
        <w:t xml:space="preserve">Con fecha 4 de febrero de 2021 mediante Resolución 162/2021 el IPLYC prorrogó a partir de su vencimiento, es decir desde el -30/06/19, los términos de los contratos prorrogados por Resolución 443/2019, ratificado por Decreto145/2019 suscripto entre el </w:t>
      </w:r>
      <w:proofErr w:type="spellStart"/>
      <w:r w:rsidRPr="00FE5001">
        <w:rPr>
          <w:rFonts w:ascii="Times New Roman" w:eastAsia="Times New Roman" w:hAnsi="Times New Roman" w:cs="Times New Roman"/>
          <w:i/>
          <w:iCs/>
          <w:lang w:val="es-ES" w:eastAsia="es-ES"/>
        </w:rPr>
        <w:t>IPLyC</w:t>
      </w:r>
      <w:proofErr w:type="spellEnd"/>
      <w:r w:rsidRPr="00FE5001">
        <w:rPr>
          <w:rFonts w:ascii="Times New Roman" w:eastAsia="Times New Roman" w:hAnsi="Times New Roman" w:cs="Times New Roman"/>
          <w:i/>
          <w:iCs/>
          <w:lang w:val="es-ES" w:eastAsia="es-ES"/>
        </w:rPr>
        <w:t xml:space="preserve"> y Boldt S.A. respecto al Casino de Tandil, Casino de Miramar, Casino Anexo III de Mar del Plata (Hotel Hermitage), Mar de Ajo, Casino Anexo I de Mar del Plata (Hotel </w:t>
      </w:r>
      <w:proofErr w:type="spellStart"/>
      <w:r w:rsidRPr="00FE5001">
        <w:rPr>
          <w:rFonts w:ascii="Times New Roman" w:eastAsia="Times New Roman" w:hAnsi="Times New Roman" w:cs="Times New Roman"/>
          <w:i/>
          <w:iCs/>
          <w:lang w:val="es-ES" w:eastAsia="es-ES"/>
        </w:rPr>
        <w:t>Sasso</w:t>
      </w:r>
      <w:proofErr w:type="spellEnd"/>
      <w:r w:rsidRPr="00FE5001">
        <w:rPr>
          <w:rFonts w:ascii="Times New Roman" w:eastAsia="Times New Roman" w:hAnsi="Times New Roman" w:cs="Times New Roman"/>
          <w:i/>
          <w:iCs/>
          <w:lang w:val="es-ES" w:eastAsia="es-ES"/>
        </w:rPr>
        <w:t>) y Casino de Sierra de la Ventana hasta el 31 de diciembre de 2021 o hasta el momento de entrada en vigencia del nuevo contrato con el/los proveedores que resulten adjudicatarios en el proceso correspondiente, lo que resulte primero.</w:t>
      </w:r>
    </w:p>
    <w:p w14:paraId="730C3F46" w14:textId="77777777" w:rsidR="00100610" w:rsidRPr="00FE5001" w:rsidRDefault="00100610" w:rsidP="008E7002">
      <w:pPr>
        <w:spacing w:after="0" w:line="240" w:lineRule="auto"/>
        <w:jc w:val="both"/>
        <w:rPr>
          <w:rFonts w:ascii="Times New Roman" w:eastAsia="Times New Roman" w:hAnsi="Times New Roman" w:cs="Times New Roman"/>
          <w:i/>
          <w:iCs/>
          <w:highlight w:val="yellow"/>
          <w:lang w:val="es-ES" w:eastAsia="es-ES"/>
        </w:rPr>
      </w:pPr>
    </w:p>
    <w:p w14:paraId="05B96D8D" w14:textId="7C7CD72E" w:rsidR="00714575" w:rsidRPr="00FE5001" w:rsidRDefault="00714575"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Entretenimientos a nivel regional</w:t>
      </w:r>
    </w:p>
    <w:p w14:paraId="77AE0F80" w14:textId="77777777" w:rsidR="00714575" w:rsidRPr="00FE5001" w:rsidRDefault="00714575" w:rsidP="008E7002">
      <w:pPr>
        <w:spacing w:after="0" w:line="240" w:lineRule="auto"/>
        <w:jc w:val="both"/>
        <w:rPr>
          <w:rFonts w:ascii="Times New Roman" w:eastAsia="Times New Roman" w:hAnsi="Times New Roman" w:cs="Times New Roman"/>
          <w:bCs/>
          <w:i/>
          <w:lang w:val="es-ES" w:eastAsia="es-ES"/>
        </w:rPr>
      </w:pPr>
    </w:p>
    <w:p w14:paraId="6B95994F" w14:textId="34FF13E8" w:rsidR="00714575" w:rsidRPr="00FE5001" w:rsidRDefault="00714575" w:rsidP="00FE5001">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República de Chile</w:t>
      </w:r>
    </w:p>
    <w:p w14:paraId="3E99EC26" w14:textId="77777777" w:rsidR="006C5EA4" w:rsidRPr="00FE5001" w:rsidRDefault="006C5EA4" w:rsidP="00FE5001">
      <w:pPr>
        <w:spacing w:after="0" w:line="240" w:lineRule="auto"/>
        <w:jc w:val="both"/>
        <w:rPr>
          <w:rFonts w:ascii="Times New Roman" w:eastAsia="Times New Roman" w:hAnsi="Times New Roman" w:cs="Times New Roman"/>
          <w:bCs/>
          <w:i/>
          <w:lang w:val="es-ES" w:eastAsia="es-ES"/>
        </w:rPr>
      </w:pPr>
    </w:p>
    <w:p w14:paraId="1AEFE5B0" w14:textId="00607936" w:rsidR="006C5EA4" w:rsidRPr="00FE5001" w:rsidRDefault="006C5EA4" w:rsidP="00FE5001">
      <w:pPr>
        <w:spacing w:after="0" w:line="240" w:lineRule="auto"/>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En el primer trimestre del ejercicio se mantuvieron vigentes una serie de medidas aprobadas por el Gobierno de Chile vinculadas a la situación de pandemia por COVID 19</w:t>
      </w:r>
      <w:r w:rsidR="00FE5001">
        <w:rPr>
          <w:rFonts w:ascii="Times New Roman" w:eastAsia="Times New Roman" w:hAnsi="Times New Roman" w:cs="Times New Roman"/>
          <w:bCs/>
          <w:i/>
          <w:iCs/>
          <w:lang w:val="es-ES" w:eastAsia="es-ES"/>
        </w:rPr>
        <w:t>.</w:t>
      </w:r>
      <w:r w:rsidRPr="00FE5001">
        <w:rPr>
          <w:rFonts w:ascii="Times New Roman" w:eastAsia="Times New Roman" w:hAnsi="Times New Roman" w:cs="Times New Roman"/>
          <w:bCs/>
          <w:i/>
          <w:iCs/>
          <w:lang w:val="es-ES" w:eastAsia="es-ES"/>
        </w:rPr>
        <w:t xml:space="preserve"> </w:t>
      </w:r>
    </w:p>
    <w:p w14:paraId="004B52BB" w14:textId="77777777" w:rsidR="006C5EA4" w:rsidRPr="00FE5001" w:rsidRDefault="006C5EA4" w:rsidP="00FE5001">
      <w:pPr>
        <w:spacing w:after="0" w:line="240" w:lineRule="auto"/>
        <w:jc w:val="both"/>
        <w:rPr>
          <w:rFonts w:ascii="Times New Roman" w:eastAsia="Times New Roman" w:hAnsi="Times New Roman" w:cs="Times New Roman"/>
          <w:bCs/>
          <w:i/>
          <w:iCs/>
          <w:lang w:val="es-ES" w:eastAsia="es-ES"/>
        </w:rPr>
      </w:pPr>
    </w:p>
    <w:p w14:paraId="45D79E8D" w14:textId="2FD20E09" w:rsidR="006C5EA4" w:rsidRPr="00FE5001" w:rsidRDefault="00DD6D80" w:rsidP="00FE5001">
      <w:pPr>
        <w:spacing w:after="0" w:line="240" w:lineRule="auto"/>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lastRenderedPageBreak/>
        <w:t>Durante el segundo y tercer trimestre del ejercicio en el marco del plan P</w:t>
      </w:r>
      <w:r w:rsidR="00315D05" w:rsidRPr="00FE5001">
        <w:rPr>
          <w:rFonts w:ascii="Times New Roman" w:eastAsia="Times New Roman" w:hAnsi="Times New Roman" w:cs="Times New Roman"/>
          <w:bCs/>
          <w:i/>
          <w:iCs/>
          <w:lang w:val="es-ES" w:eastAsia="es-ES"/>
        </w:rPr>
        <w:t>aso</w:t>
      </w:r>
      <w:r w:rsidRPr="00FE5001">
        <w:rPr>
          <w:rFonts w:ascii="Times New Roman" w:eastAsia="Times New Roman" w:hAnsi="Times New Roman" w:cs="Times New Roman"/>
          <w:bCs/>
          <w:i/>
          <w:iCs/>
          <w:lang w:val="es-ES" w:eastAsia="es-ES"/>
        </w:rPr>
        <w:t xml:space="preserve"> </w:t>
      </w:r>
      <w:r w:rsidR="00315D05" w:rsidRPr="00FE5001">
        <w:rPr>
          <w:rFonts w:ascii="Times New Roman" w:eastAsia="Times New Roman" w:hAnsi="Times New Roman" w:cs="Times New Roman"/>
          <w:bCs/>
          <w:i/>
          <w:iCs/>
          <w:lang w:val="es-ES" w:eastAsia="es-ES"/>
        </w:rPr>
        <w:t>a</w:t>
      </w:r>
      <w:r w:rsidRPr="00FE5001">
        <w:rPr>
          <w:rFonts w:ascii="Times New Roman" w:eastAsia="Times New Roman" w:hAnsi="Times New Roman" w:cs="Times New Roman"/>
          <w:bCs/>
          <w:i/>
          <w:iCs/>
          <w:lang w:val="es-ES" w:eastAsia="es-ES"/>
        </w:rPr>
        <w:t xml:space="preserve"> P</w:t>
      </w:r>
      <w:r w:rsidR="00315D05" w:rsidRPr="00FE5001">
        <w:rPr>
          <w:rFonts w:ascii="Times New Roman" w:eastAsia="Times New Roman" w:hAnsi="Times New Roman" w:cs="Times New Roman"/>
          <w:bCs/>
          <w:i/>
          <w:iCs/>
          <w:lang w:val="es-ES" w:eastAsia="es-ES"/>
        </w:rPr>
        <w:t>aso</w:t>
      </w:r>
      <w:r w:rsidRPr="00FE5001">
        <w:rPr>
          <w:rFonts w:ascii="Times New Roman" w:eastAsia="Times New Roman" w:hAnsi="Times New Roman" w:cs="Times New Roman"/>
          <w:bCs/>
          <w:i/>
          <w:iCs/>
          <w:lang w:val="es-ES" w:eastAsia="es-ES"/>
        </w:rPr>
        <w:t xml:space="preserve"> hubo varios cambios en las </w:t>
      </w:r>
      <w:r w:rsidR="00315D05" w:rsidRPr="00FE5001">
        <w:rPr>
          <w:rFonts w:ascii="Times New Roman" w:eastAsia="Times New Roman" w:hAnsi="Times New Roman" w:cs="Times New Roman"/>
          <w:bCs/>
          <w:i/>
          <w:iCs/>
          <w:lang w:val="es-ES" w:eastAsia="es-ES"/>
        </w:rPr>
        <w:t>f</w:t>
      </w:r>
      <w:r w:rsidRPr="00FE5001">
        <w:rPr>
          <w:rFonts w:ascii="Times New Roman" w:eastAsia="Times New Roman" w:hAnsi="Times New Roman" w:cs="Times New Roman"/>
          <w:bCs/>
          <w:i/>
          <w:iCs/>
          <w:lang w:val="es-ES" w:eastAsia="es-ES"/>
        </w:rPr>
        <w:t xml:space="preserve">ases en que se fue incluyendo a la región de Ovalle y que repercutieron en una mayor o menor apertura de actividades según el período analizado. </w:t>
      </w:r>
    </w:p>
    <w:p w14:paraId="57DE92EA" w14:textId="77777777" w:rsidR="00DD6D80" w:rsidRPr="00FE5001" w:rsidRDefault="00DD6D80" w:rsidP="00FE5001">
      <w:pPr>
        <w:spacing w:after="0" w:line="240" w:lineRule="auto"/>
        <w:jc w:val="both"/>
        <w:rPr>
          <w:rFonts w:ascii="Times New Roman" w:eastAsia="Times New Roman" w:hAnsi="Times New Roman" w:cs="Times New Roman"/>
          <w:bCs/>
          <w:i/>
          <w:iCs/>
          <w:lang w:val="es-ES" w:eastAsia="es-ES"/>
        </w:rPr>
      </w:pPr>
    </w:p>
    <w:p w14:paraId="7BEA6541" w14:textId="6D73445A" w:rsidR="006C5EA4" w:rsidRPr="00FE5001" w:rsidRDefault="006C5EA4" w:rsidP="008E7002">
      <w:pPr>
        <w:spacing w:after="0" w:line="240" w:lineRule="auto"/>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 xml:space="preserve">En el </w:t>
      </w:r>
      <w:r w:rsidR="00DD6D80" w:rsidRPr="00FE5001">
        <w:rPr>
          <w:rFonts w:ascii="Times New Roman" w:eastAsia="Times New Roman" w:hAnsi="Times New Roman" w:cs="Times New Roman"/>
          <w:bCs/>
          <w:i/>
          <w:iCs/>
          <w:lang w:val="es-ES" w:eastAsia="es-ES"/>
        </w:rPr>
        <w:t xml:space="preserve">último </w:t>
      </w:r>
      <w:r w:rsidRPr="00FE5001">
        <w:rPr>
          <w:rFonts w:ascii="Times New Roman" w:eastAsia="Times New Roman" w:hAnsi="Times New Roman" w:cs="Times New Roman"/>
          <w:bCs/>
          <w:i/>
          <w:iCs/>
          <w:lang w:val="es-ES" w:eastAsia="es-ES"/>
        </w:rPr>
        <w:t xml:space="preserve">trimestre </w:t>
      </w:r>
      <w:r w:rsidR="00DD6D80" w:rsidRPr="00FE5001">
        <w:rPr>
          <w:rFonts w:ascii="Times New Roman" w:eastAsia="Times New Roman" w:hAnsi="Times New Roman" w:cs="Times New Roman"/>
          <w:bCs/>
          <w:i/>
          <w:iCs/>
          <w:lang w:val="es-ES" w:eastAsia="es-ES"/>
        </w:rPr>
        <w:t>del ejercicio</w:t>
      </w:r>
      <w:r w:rsidRPr="00FE5001">
        <w:rPr>
          <w:rFonts w:ascii="Times New Roman" w:eastAsia="Times New Roman" w:hAnsi="Times New Roman" w:cs="Times New Roman"/>
          <w:bCs/>
          <w:i/>
          <w:iCs/>
          <w:lang w:val="es-ES" w:eastAsia="es-ES"/>
        </w:rPr>
        <w:t xml:space="preserve"> se mant</w:t>
      </w:r>
      <w:r w:rsidR="00DD6D80" w:rsidRPr="00FE5001">
        <w:rPr>
          <w:rFonts w:ascii="Times New Roman" w:eastAsia="Times New Roman" w:hAnsi="Times New Roman" w:cs="Times New Roman"/>
          <w:bCs/>
          <w:i/>
          <w:iCs/>
          <w:lang w:val="es-ES" w:eastAsia="es-ES"/>
        </w:rPr>
        <w:t>uvo</w:t>
      </w:r>
      <w:r w:rsidRPr="00FE5001">
        <w:rPr>
          <w:rFonts w:ascii="Times New Roman" w:eastAsia="Times New Roman" w:hAnsi="Times New Roman" w:cs="Times New Roman"/>
          <w:bCs/>
          <w:i/>
          <w:iCs/>
          <w:lang w:val="es-ES" w:eastAsia="es-ES"/>
        </w:rPr>
        <w:t xml:space="preserve"> vigente el plan Paso a Paso establecido por el gobierno nacional, sin embargo, durante el mencionado periodo ha sufrido modificaciones significativas flexibilizando y permitiendo una mayor apertura de las actividades en general, destacándose las siguientes:</w:t>
      </w:r>
    </w:p>
    <w:p w14:paraId="7A122CD9" w14:textId="77777777" w:rsidR="00EE25AF" w:rsidRPr="00FE5001" w:rsidRDefault="00EE25AF" w:rsidP="00FE5001">
      <w:pPr>
        <w:spacing w:after="0" w:line="240" w:lineRule="auto"/>
        <w:jc w:val="both"/>
        <w:rPr>
          <w:rFonts w:ascii="Times New Roman" w:eastAsia="Times New Roman" w:hAnsi="Times New Roman" w:cs="Times New Roman"/>
          <w:bCs/>
          <w:i/>
          <w:iCs/>
          <w:lang w:val="es-ES" w:eastAsia="es-ES"/>
        </w:rPr>
      </w:pPr>
    </w:p>
    <w:p w14:paraId="218CBD48" w14:textId="1D22A7F1" w:rsidR="00315D05" w:rsidRPr="00FE5001" w:rsidRDefault="00315D05" w:rsidP="00FE5001">
      <w:pPr>
        <w:numPr>
          <w:ilvl w:val="0"/>
          <w:numId w:val="5"/>
        </w:numPr>
        <w:spacing w:after="0" w:line="240" w:lineRule="auto"/>
        <w:ind w:left="567" w:hanging="283"/>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m</w:t>
      </w:r>
      <w:r w:rsidR="006C5EA4" w:rsidRPr="00FE5001">
        <w:rPr>
          <w:rFonts w:ascii="Times New Roman" w:eastAsia="Times New Roman" w:hAnsi="Times New Roman" w:cs="Times New Roman"/>
          <w:bCs/>
          <w:i/>
          <w:iCs/>
          <w:lang w:val="es-ES" w:eastAsia="es-ES"/>
        </w:rPr>
        <w:t>odificación del plan fronteras protegidas, permitiendo el ingreso al país a personas no residentes con pase de movilidad en los aeropuertos habilitados a estos fines.</w:t>
      </w:r>
    </w:p>
    <w:p w14:paraId="11B87128" w14:textId="38388B2A" w:rsidR="00315D05" w:rsidRPr="00FE5001" w:rsidRDefault="00315D05" w:rsidP="00FE5001">
      <w:pPr>
        <w:numPr>
          <w:ilvl w:val="0"/>
          <w:numId w:val="5"/>
        </w:numPr>
        <w:spacing w:after="0" w:line="240" w:lineRule="auto"/>
        <w:ind w:left="567" w:hanging="283"/>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 xml:space="preserve">en fecha </w:t>
      </w:r>
      <w:r w:rsidR="006C5EA4" w:rsidRPr="00FE5001">
        <w:rPr>
          <w:rFonts w:ascii="Times New Roman" w:eastAsia="Times New Roman" w:hAnsi="Times New Roman" w:cs="Times New Roman"/>
          <w:bCs/>
          <w:i/>
          <w:iCs/>
          <w:lang w:val="es-ES" w:eastAsia="es-ES"/>
        </w:rPr>
        <w:t>13</w:t>
      </w:r>
      <w:r w:rsidRPr="00FE5001">
        <w:rPr>
          <w:rFonts w:ascii="Times New Roman" w:eastAsia="Times New Roman" w:hAnsi="Times New Roman" w:cs="Times New Roman"/>
          <w:bCs/>
          <w:i/>
          <w:iCs/>
          <w:lang w:val="es-ES" w:eastAsia="es-ES"/>
        </w:rPr>
        <w:t xml:space="preserve"> de agosto</w:t>
      </w:r>
      <w:r w:rsidR="006C5EA4" w:rsidRPr="00FE5001">
        <w:rPr>
          <w:rFonts w:ascii="Times New Roman" w:eastAsia="Times New Roman" w:hAnsi="Times New Roman" w:cs="Times New Roman"/>
          <w:bCs/>
          <w:i/>
          <w:iCs/>
          <w:lang w:val="es-ES" w:eastAsia="es-ES"/>
        </w:rPr>
        <w:t>, dada la situación epidemiológica de la región y de la comuna, se estableció el avance al paso 4 de la comuna de Ovalle, lo que se ha mantenido hasta el fin del trimestre.</w:t>
      </w:r>
    </w:p>
    <w:p w14:paraId="69B2D7C8" w14:textId="7A874A70" w:rsidR="00315D05" w:rsidRPr="00FE5001" w:rsidRDefault="00315D05" w:rsidP="00FE5001">
      <w:pPr>
        <w:numPr>
          <w:ilvl w:val="0"/>
          <w:numId w:val="5"/>
        </w:numPr>
        <w:spacing w:after="0" w:line="240" w:lineRule="auto"/>
        <w:ind w:left="567" w:hanging="283"/>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a</w:t>
      </w:r>
      <w:r w:rsidR="006C5EA4" w:rsidRPr="00FE5001">
        <w:rPr>
          <w:rFonts w:ascii="Times New Roman" w:eastAsia="Times New Roman" w:hAnsi="Times New Roman" w:cs="Times New Roman"/>
          <w:bCs/>
          <w:i/>
          <w:iCs/>
          <w:lang w:val="es-ES" w:eastAsia="es-ES"/>
        </w:rPr>
        <w:t xml:space="preserve"> partir del 16</w:t>
      </w:r>
      <w:r w:rsidRPr="00FE5001">
        <w:rPr>
          <w:rFonts w:ascii="Times New Roman" w:eastAsia="Times New Roman" w:hAnsi="Times New Roman" w:cs="Times New Roman"/>
          <w:bCs/>
          <w:i/>
          <w:iCs/>
          <w:lang w:val="es-ES" w:eastAsia="es-ES"/>
        </w:rPr>
        <w:t xml:space="preserve"> de agosto</w:t>
      </w:r>
      <w:r w:rsidR="006C5EA4" w:rsidRPr="00FE5001">
        <w:rPr>
          <w:rFonts w:ascii="Times New Roman" w:eastAsia="Times New Roman" w:hAnsi="Times New Roman" w:cs="Times New Roman"/>
          <w:bCs/>
          <w:i/>
          <w:iCs/>
          <w:lang w:val="es-ES" w:eastAsia="es-ES"/>
        </w:rPr>
        <w:t xml:space="preserve"> se permite el ingreso de público en lugares cerrados solo con pase de movilidad, ampliando los aforos existentes según la actividad.</w:t>
      </w:r>
    </w:p>
    <w:p w14:paraId="1176ED35" w14:textId="7C935CBF" w:rsidR="006C5EA4" w:rsidRPr="00FE5001" w:rsidRDefault="00315D05" w:rsidP="00FE5001">
      <w:pPr>
        <w:numPr>
          <w:ilvl w:val="0"/>
          <w:numId w:val="5"/>
        </w:numPr>
        <w:spacing w:after="0" w:line="240" w:lineRule="auto"/>
        <w:ind w:left="567" w:hanging="283"/>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 xml:space="preserve">en fecha </w:t>
      </w:r>
      <w:r w:rsidR="006C5EA4" w:rsidRPr="00FE5001">
        <w:rPr>
          <w:rFonts w:ascii="Times New Roman" w:eastAsia="Times New Roman" w:hAnsi="Times New Roman" w:cs="Times New Roman"/>
          <w:bCs/>
          <w:i/>
          <w:iCs/>
          <w:lang w:val="es-ES" w:eastAsia="es-ES"/>
        </w:rPr>
        <w:t>10</w:t>
      </w:r>
      <w:r w:rsidRPr="00FE5001">
        <w:rPr>
          <w:rFonts w:ascii="Times New Roman" w:eastAsia="Times New Roman" w:hAnsi="Times New Roman" w:cs="Times New Roman"/>
          <w:bCs/>
          <w:i/>
          <w:iCs/>
          <w:lang w:val="es-ES" w:eastAsia="es-ES"/>
        </w:rPr>
        <w:t xml:space="preserve"> de octubre </w:t>
      </w:r>
      <w:r w:rsidR="006C5EA4" w:rsidRPr="00FE5001">
        <w:rPr>
          <w:rFonts w:ascii="Times New Roman" w:eastAsia="Times New Roman" w:hAnsi="Times New Roman" w:cs="Times New Roman"/>
          <w:bCs/>
          <w:i/>
          <w:iCs/>
          <w:lang w:val="es-ES" w:eastAsia="es-ES"/>
        </w:rPr>
        <w:t xml:space="preserve">se dio por finalizado el Estado de Excepción vigente desde </w:t>
      </w:r>
      <w:r w:rsidR="00BC4A62" w:rsidRPr="00FE5001">
        <w:rPr>
          <w:rFonts w:ascii="Times New Roman" w:eastAsia="Times New Roman" w:hAnsi="Times New Roman" w:cs="Times New Roman"/>
          <w:bCs/>
          <w:i/>
          <w:iCs/>
          <w:lang w:val="es-ES" w:eastAsia="es-ES"/>
        </w:rPr>
        <w:t>m</w:t>
      </w:r>
      <w:r w:rsidR="006C5EA4" w:rsidRPr="00FE5001">
        <w:rPr>
          <w:rFonts w:ascii="Times New Roman" w:eastAsia="Times New Roman" w:hAnsi="Times New Roman" w:cs="Times New Roman"/>
          <w:bCs/>
          <w:i/>
          <w:iCs/>
          <w:lang w:val="es-ES" w:eastAsia="es-ES"/>
        </w:rPr>
        <w:t xml:space="preserve">arzo 2020, lo que trajo aparejado el fin del toque de queda a partir del </w:t>
      </w:r>
      <w:r w:rsidR="00DE29A3" w:rsidRPr="00FE5001">
        <w:rPr>
          <w:rFonts w:ascii="Times New Roman" w:eastAsia="Times New Roman" w:hAnsi="Times New Roman" w:cs="Times New Roman"/>
          <w:bCs/>
          <w:i/>
          <w:iCs/>
          <w:lang w:val="es-ES" w:eastAsia="es-ES"/>
        </w:rPr>
        <w:t>mes de octubre</w:t>
      </w:r>
      <w:r w:rsidR="006C5EA4" w:rsidRPr="00FE5001">
        <w:rPr>
          <w:rFonts w:ascii="Times New Roman" w:eastAsia="Times New Roman" w:hAnsi="Times New Roman" w:cs="Times New Roman"/>
          <w:bCs/>
          <w:i/>
          <w:iCs/>
          <w:lang w:val="es-ES" w:eastAsia="es-ES"/>
        </w:rPr>
        <w:t xml:space="preserve"> y la posibilidad de mantener las unidades de negocio abiertas con ciertas restricciones.</w:t>
      </w:r>
    </w:p>
    <w:p w14:paraId="1A76D3FC" w14:textId="77777777" w:rsidR="006C5EA4" w:rsidRPr="00FE5001" w:rsidRDefault="006C5EA4" w:rsidP="008E7002">
      <w:pPr>
        <w:spacing w:after="0" w:line="240" w:lineRule="auto"/>
        <w:jc w:val="both"/>
        <w:rPr>
          <w:rFonts w:ascii="Times New Roman" w:eastAsia="Times New Roman" w:hAnsi="Times New Roman" w:cs="Times New Roman"/>
          <w:bCs/>
          <w:i/>
          <w:iCs/>
          <w:lang w:val="es-ES" w:eastAsia="es-ES"/>
        </w:rPr>
      </w:pPr>
    </w:p>
    <w:p w14:paraId="5BAF3A32" w14:textId="2C38DA73" w:rsidR="006C5EA4" w:rsidRPr="00FE5001" w:rsidRDefault="006C5EA4" w:rsidP="008E7002">
      <w:pPr>
        <w:spacing w:after="0" w:line="240" w:lineRule="auto"/>
        <w:jc w:val="both"/>
        <w:rPr>
          <w:rFonts w:ascii="Times New Roman" w:eastAsia="Times New Roman" w:hAnsi="Times New Roman" w:cs="Times New Roman"/>
          <w:bCs/>
          <w:i/>
          <w:iCs/>
          <w:lang w:val="es-ES" w:eastAsia="es-ES"/>
        </w:rPr>
      </w:pPr>
      <w:r w:rsidRPr="00FE5001">
        <w:rPr>
          <w:rFonts w:ascii="Times New Roman" w:eastAsia="Times New Roman" w:hAnsi="Times New Roman" w:cs="Times New Roman"/>
          <w:bCs/>
          <w:i/>
          <w:iCs/>
          <w:lang w:val="es-ES" w:eastAsia="es-ES"/>
        </w:rPr>
        <w:t>En lo que respecta a la actividad propia de</w:t>
      </w:r>
      <w:r w:rsidR="00BC4A62" w:rsidRPr="00FE5001">
        <w:rPr>
          <w:rFonts w:ascii="Times New Roman" w:eastAsia="Times New Roman" w:hAnsi="Times New Roman" w:cs="Times New Roman"/>
          <w:bCs/>
          <w:i/>
          <w:iCs/>
          <w:lang w:val="es-ES" w:eastAsia="es-ES"/>
        </w:rPr>
        <w:t xml:space="preserve"> Ovalle Casino Resort</w:t>
      </w:r>
      <w:r w:rsidRPr="00FE5001">
        <w:rPr>
          <w:rFonts w:ascii="Times New Roman" w:eastAsia="Times New Roman" w:hAnsi="Times New Roman" w:cs="Times New Roman"/>
          <w:bCs/>
          <w:i/>
          <w:iCs/>
          <w:lang w:val="es-ES" w:eastAsia="es-ES"/>
        </w:rPr>
        <w:t>, las mencionadas medidas, junto con la positiva evolución de los índices considerados y de la vacunación de la población, demostraron un</w:t>
      </w:r>
      <w:r w:rsidR="002C7B07">
        <w:rPr>
          <w:rFonts w:ascii="Times New Roman" w:eastAsia="Times New Roman" w:hAnsi="Times New Roman" w:cs="Times New Roman"/>
          <w:bCs/>
          <w:i/>
          <w:iCs/>
          <w:lang w:val="es-ES" w:eastAsia="es-ES"/>
        </w:rPr>
        <w:t xml:space="preserve">a mejora </w:t>
      </w:r>
      <w:r w:rsidR="007C4B69" w:rsidRPr="00FE5001">
        <w:rPr>
          <w:rFonts w:ascii="Times New Roman" w:eastAsia="Times New Roman" w:hAnsi="Times New Roman" w:cs="Times New Roman"/>
          <w:bCs/>
          <w:i/>
          <w:iCs/>
          <w:lang w:val="es-ES" w:eastAsia="es-ES"/>
        </w:rPr>
        <w:t>en la afluencia del público</w:t>
      </w:r>
      <w:r w:rsidR="002C7B07">
        <w:rPr>
          <w:rFonts w:ascii="Times New Roman" w:eastAsia="Times New Roman" w:hAnsi="Times New Roman" w:cs="Times New Roman"/>
          <w:bCs/>
          <w:i/>
          <w:iCs/>
          <w:lang w:val="es-ES" w:eastAsia="es-ES"/>
        </w:rPr>
        <w:t xml:space="preserve"> </w:t>
      </w:r>
      <w:r w:rsidR="002C7B07" w:rsidRPr="00C35966">
        <w:rPr>
          <w:rFonts w:ascii="Times New Roman" w:eastAsia="Times New Roman" w:hAnsi="Times New Roman" w:cs="Times New Roman"/>
          <w:bCs/>
          <w:i/>
          <w:iCs/>
          <w:lang w:val="es-ES" w:eastAsia="es-ES"/>
        </w:rPr>
        <w:t>frente a la apertura de las diferentes actividades, con su correlato en un incremento de los ingresos que de a poco se vienen consolidando</w:t>
      </w:r>
      <w:r w:rsidRPr="00FE5001">
        <w:rPr>
          <w:rFonts w:ascii="Times New Roman" w:eastAsia="Times New Roman" w:hAnsi="Times New Roman" w:cs="Times New Roman"/>
          <w:bCs/>
          <w:i/>
          <w:iCs/>
          <w:lang w:val="es-ES" w:eastAsia="es-ES"/>
        </w:rPr>
        <w:t>.</w:t>
      </w:r>
    </w:p>
    <w:p w14:paraId="1D5AE1AB" w14:textId="77777777" w:rsidR="006C5EA4" w:rsidRPr="00FE5001" w:rsidRDefault="006C5EA4" w:rsidP="008E7002">
      <w:pPr>
        <w:spacing w:after="0" w:line="240" w:lineRule="auto"/>
        <w:ind w:left="348"/>
        <w:jc w:val="both"/>
        <w:rPr>
          <w:rFonts w:ascii="Times New Roman" w:eastAsia="Times New Roman" w:hAnsi="Times New Roman" w:cs="Times New Roman"/>
          <w:bCs/>
          <w:i/>
          <w:lang w:val="es-ES" w:eastAsia="es-ES"/>
        </w:rPr>
      </w:pPr>
    </w:p>
    <w:p w14:paraId="692438BD" w14:textId="1C213F60" w:rsidR="00714575" w:rsidRPr="00FE5001" w:rsidRDefault="00714575"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República Oriental del Uruguay</w:t>
      </w:r>
    </w:p>
    <w:p w14:paraId="78AD7DCB" w14:textId="77777777" w:rsidR="00D84A37" w:rsidRPr="00FE5001" w:rsidRDefault="00D84A37" w:rsidP="008E7002">
      <w:pPr>
        <w:spacing w:after="0" w:line="240" w:lineRule="auto"/>
        <w:ind w:left="348"/>
        <w:jc w:val="both"/>
        <w:rPr>
          <w:rFonts w:ascii="Times New Roman" w:eastAsia="Times New Roman" w:hAnsi="Times New Roman" w:cs="Times New Roman"/>
          <w:bCs/>
          <w:i/>
          <w:lang w:val="es-ES" w:eastAsia="es-ES"/>
        </w:rPr>
      </w:pPr>
    </w:p>
    <w:p w14:paraId="349E24BD" w14:textId="31278FF9" w:rsidR="00D84A37" w:rsidRPr="00FE5001" w:rsidRDefault="00D84A37" w:rsidP="008E7002">
      <w:pPr>
        <w:spacing w:after="0" w:line="240" w:lineRule="auto"/>
        <w:jc w:val="both"/>
        <w:rPr>
          <w:rFonts w:ascii="Times New Roman" w:eastAsia="Times New Roman" w:hAnsi="Times New Roman" w:cs="Times New Roman"/>
          <w:bCs/>
          <w:i/>
          <w:lang w:val="es-ES_tradnl" w:eastAsia="es-ES"/>
        </w:rPr>
      </w:pPr>
      <w:r w:rsidRPr="00FE5001">
        <w:rPr>
          <w:rFonts w:ascii="Times New Roman" w:eastAsia="Times New Roman" w:hAnsi="Times New Roman" w:cs="Times New Roman"/>
          <w:bCs/>
          <w:i/>
          <w:lang w:val="es-ES_tradnl" w:eastAsia="es-ES"/>
        </w:rPr>
        <w:t xml:space="preserve">Al inicio del ejercicio </w:t>
      </w:r>
      <w:r w:rsidRPr="00FE5001">
        <w:rPr>
          <w:rFonts w:ascii="Times New Roman" w:eastAsia="Times New Roman" w:hAnsi="Times New Roman" w:cs="Times New Roman"/>
          <w:bCs/>
          <w:i/>
          <w:lang w:val="es-ES" w:eastAsia="es-ES"/>
        </w:rPr>
        <w:t xml:space="preserve">las dos localidades de negocios de entretenimientos de la republica de Uruguay, </w:t>
      </w:r>
      <w:r w:rsidR="009E7AD1" w:rsidRPr="00FE5001">
        <w:rPr>
          <w:rFonts w:ascii="Times New Roman" w:eastAsia="Times New Roman" w:hAnsi="Times New Roman" w:cs="Times New Roman"/>
          <w:bCs/>
          <w:i/>
          <w:lang w:val="es-ES" w:eastAsia="es-ES"/>
        </w:rPr>
        <w:t>en Salto</w:t>
      </w:r>
      <w:r w:rsidRPr="00FE5001">
        <w:rPr>
          <w:rFonts w:ascii="Times New Roman" w:eastAsia="Times New Roman" w:hAnsi="Times New Roman" w:cs="Times New Roman"/>
          <w:bCs/>
          <w:i/>
          <w:lang w:val="es-ES" w:eastAsia="es-ES"/>
        </w:rPr>
        <w:t xml:space="preserve">, la sociedad </w:t>
      </w:r>
      <w:proofErr w:type="spellStart"/>
      <w:r w:rsidRPr="00FE5001">
        <w:rPr>
          <w:rFonts w:ascii="Times New Roman" w:eastAsia="Times New Roman" w:hAnsi="Times New Roman" w:cs="Times New Roman"/>
          <w:bCs/>
          <w:i/>
          <w:lang w:val="es-ES" w:eastAsia="es-ES"/>
        </w:rPr>
        <w:t>Naranpark</w:t>
      </w:r>
      <w:proofErr w:type="spellEnd"/>
      <w:r w:rsidRPr="00FE5001">
        <w:rPr>
          <w:rFonts w:ascii="Times New Roman" w:eastAsia="Times New Roman" w:hAnsi="Times New Roman" w:cs="Times New Roman"/>
          <w:bCs/>
          <w:i/>
          <w:lang w:val="es-ES" w:eastAsia="es-ES"/>
        </w:rPr>
        <w:t xml:space="preserve"> S.A. y en Rivera la sociedad Manteo S.A.</w:t>
      </w:r>
      <w:r w:rsidRPr="00FE5001">
        <w:rPr>
          <w:rFonts w:ascii="Times New Roman" w:eastAsia="Times New Roman" w:hAnsi="Times New Roman" w:cs="Times New Roman"/>
          <w:bCs/>
          <w:i/>
          <w:lang w:val="es-ES_tradnl" w:eastAsia="es-ES"/>
        </w:rPr>
        <w:t>, se encontraban atravesando la etapa de “Nueva normalidad” bajo protocolos de prevención, con libre circulación interna. Uruguay es el único país de Sudamérica que evitó cuarentenas y restricciones duras porque tuvo niveles de contagios muy bajos respecto de Brasil y de Argentina, es por ese motivo que decidió mantener sus fronteras cerradas, permitiendo solo el ingreso al país de aquellas personas que tuvieran residencia en el mismo.</w:t>
      </w:r>
    </w:p>
    <w:p w14:paraId="38DC2801" w14:textId="77777777" w:rsidR="009E7AD1" w:rsidRPr="00FE5001" w:rsidRDefault="009E7AD1" w:rsidP="008E7002">
      <w:pPr>
        <w:spacing w:after="0" w:line="240" w:lineRule="auto"/>
        <w:ind w:left="348"/>
        <w:jc w:val="both"/>
        <w:rPr>
          <w:rFonts w:ascii="Times New Roman" w:eastAsia="Times New Roman" w:hAnsi="Times New Roman" w:cs="Times New Roman"/>
          <w:bCs/>
          <w:i/>
          <w:lang w:val="es-ES_tradnl" w:eastAsia="es-ES"/>
        </w:rPr>
      </w:pPr>
    </w:p>
    <w:p w14:paraId="7FE419E1" w14:textId="4289184C" w:rsidR="00D84A37" w:rsidRPr="00FE5001" w:rsidRDefault="00D84A37" w:rsidP="008E7002">
      <w:pPr>
        <w:spacing w:after="0" w:line="240" w:lineRule="auto"/>
        <w:jc w:val="both"/>
        <w:rPr>
          <w:rFonts w:ascii="Times New Roman" w:eastAsia="Times New Roman" w:hAnsi="Times New Roman" w:cs="Times New Roman"/>
          <w:bCs/>
          <w:i/>
          <w:lang w:val="es-ES_tradnl" w:eastAsia="es-ES"/>
        </w:rPr>
      </w:pPr>
      <w:r w:rsidRPr="00FE5001">
        <w:rPr>
          <w:rFonts w:ascii="Times New Roman" w:eastAsia="Times New Roman" w:hAnsi="Times New Roman" w:cs="Times New Roman"/>
          <w:bCs/>
          <w:i/>
          <w:lang w:val="es-ES_tradnl" w:eastAsia="es-ES"/>
        </w:rPr>
        <w:t>El aspecto mencionado en el párrafo anterior influye directamente en la situación de nuestros complejos</w:t>
      </w:r>
      <w:r w:rsidR="00BC4A62" w:rsidRPr="00FE5001">
        <w:rPr>
          <w:rFonts w:ascii="Times New Roman" w:eastAsia="Times New Roman" w:hAnsi="Times New Roman" w:cs="Times New Roman"/>
          <w:bCs/>
          <w:i/>
          <w:lang w:val="es-ES_tradnl" w:eastAsia="es-ES"/>
        </w:rPr>
        <w:t xml:space="preserve"> </w:t>
      </w:r>
      <w:r w:rsidRPr="00FE5001">
        <w:rPr>
          <w:rFonts w:ascii="Times New Roman" w:eastAsia="Times New Roman" w:hAnsi="Times New Roman" w:cs="Times New Roman"/>
          <w:bCs/>
          <w:i/>
          <w:lang w:val="es-ES_tradnl" w:eastAsia="es-ES"/>
        </w:rPr>
        <w:t>ya que</w:t>
      </w:r>
      <w:r w:rsidR="00BC4A62" w:rsidRPr="00FE5001">
        <w:rPr>
          <w:rFonts w:ascii="Times New Roman" w:eastAsia="Times New Roman" w:hAnsi="Times New Roman" w:cs="Times New Roman"/>
          <w:bCs/>
          <w:i/>
          <w:lang w:val="es-ES_tradnl" w:eastAsia="es-ES"/>
        </w:rPr>
        <w:t>,</w:t>
      </w:r>
      <w:r w:rsidRPr="00FE5001">
        <w:rPr>
          <w:rFonts w:ascii="Times New Roman" w:eastAsia="Times New Roman" w:hAnsi="Times New Roman" w:cs="Times New Roman"/>
          <w:bCs/>
          <w:i/>
          <w:lang w:val="es-ES_tradnl" w:eastAsia="es-ES"/>
        </w:rPr>
        <w:t xml:space="preserve"> al encontrarnos situados en ciudades limítrofes con Argentina y Brasil, se debió readecuar la oferta, centrándonos exclusivamente en el turismo interno, aspecto diferente al de años anteriores, mostrándose una </w:t>
      </w:r>
      <w:r w:rsidR="009E7AD1" w:rsidRPr="00FE5001">
        <w:rPr>
          <w:rFonts w:ascii="Times New Roman" w:eastAsia="Times New Roman" w:hAnsi="Times New Roman" w:cs="Times New Roman"/>
          <w:bCs/>
          <w:i/>
          <w:lang w:val="es-ES_tradnl" w:eastAsia="es-ES"/>
        </w:rPr>
        <w:t>mejora</w:t>
      </w:r>
      <w:r w:rsidR="00BC4A62" w:rsidRPr="00FE5001">
        <w:rPr>
          <w:rFonts w:ascii="Times New Roman" w:eastAsia="Times New Roman" w:hAnsi="Times New Roman" w:cs="Times New Roman"/>
          <w:bCs/>
          <w:i/>
          <w:lang w:val="es-ES_tradnl" w:eastAsia="es-ES"/>
        </w:rPr>
        <w:t xml:space="preserve"> </w:t>
      </w:r>
      <w:r w:rsidR="009E7AD1" w:rsidRPr="00FE5001">
        <w:rPr>
          <w:rFonts w:ascii="Times New Roman" w:eastAsia="Times New Roman" w:hAnsi="Times New Roman" w:cs="Times New Roman"/>
          <w:bCs/>
          <w:i/>
          <w:lang w:val="es-ES_tradnl" w:eastAsia="es-ES"/>
        </w:rPr>
        <w:t>en</w:t>
      </w:r>
      <w:r w:rsidRPr="00FE5001">
        <w:rPr>
          <w:rFonts w:ascii="Times New Roman" w:eastAsia="Times New Roman" w:hAnsi="Times New Roman" w:cs="Times New Roman"/>
          <w:bCs/>
          <w:i/>
          <w:lang w:val="es-ES_tradnl" w:eastAsia="es-ES"/>
        </w:rPr>
        <w:t xml:space="preserve"> la ocupación hotel</w:t>
      </w:r>
      <w:r w:rsidR="00B33A26" w:rsidRPr="00FE5001">
        <w:rPr>
          <w:rFonts w:ascii="Times New Roman" w:eastAsia="Times New Roman" w:hAnsi="Times New Roman" w:cs="Times New Roman"/>
          <w:bCs/>
          <w:i/>
          <w:lang w:val="es-ES_tradnl" w:eastAsia="es-ES"/>
        </w:rPr>
        <w:t>era</w:t>
      </w:r>
      <w:r w:rsidRPr="00FE5001">
        <w:rPr>
          <w:rFonts w:ascii="Times New Roman" w:eastAsia="Times New Roman" w:hAnsi="Times New Roman" w:cs="Times New Roman"/>
          <w:bCs/>
          <w:i/>
          <w:lang w:val="es-ES_tradnl" w:eastAsia="es-ES"/>
        </w:rPr>
        <w:t>.</w:t>
      </w:r>
    </w:p>
    <w:p w14:paraId="53AA9141" w14:textId="2591146E" w:rsidR="007128AF" w:rsidRPr="00FE5001" w:rsidRDefault="007128AF" w:rsidP="008E7002">
      <w:pPr>
        <w:spacing w:after="0" w:line="240" w:lineRule="auto"/>
        <w:ind w:left="348"/>
        <w:jc w:val="both"/>
        <w:rPr>
          <w:rFonts w:ascii="Times New Roman" w:eastAsia="Times New Roman" w:hAnsi="Times New Roman" w:cs="Times New Roman"/>
          <w:bCs/>
          <w:i/>
          <w:lang w:val="es-ES_tradnl" w:eastAsia="es-ES"/>
        </w:rPr>
      </w:pPr>
    </w:p>
    <w:p w14:paraId="49C98D10" w14:textId="2075EDF5" w:rsidR="007128AF" w:rsidRPr="00FE5001" w:rsidRDefault="007128AF" w:rsidP="008E7002">
      <w:pPr>
        <w:spacing w:after="0" w:line="240" w:lineRule="auto"/>
        <w:jc w:val="both"/>
        <w:rPr>
          <w:rFonts w:ascii="Times New Roman" w:eastAsia="Times New Roman" w:hAnsi="Times New Roman" w:cs="Times New Roman"/>
          <w:bCs/>
          <w:i/>
          <w:lang w:val="es-ES_tradnl" w:eastAsia="es-ES"/>
        </w:rPr>
      </w:pPr>
      <w:r w:rsidRPr="00FE5001">
        <w:rPr>
          <w:rFonts w:ascii="Times New Roman" w:eastAsia="Times New Roman" w:hAnsi="Times New Roman" w:cs="Times New Roman"/>
          <w:bCs/>
          <w:i/>
          <w:lang w:val="es-ES_tradnl" w:eastAsia="es-ES"/>
        </w:rPr>
        <w:t xml:space="preserve">El segundo y tercer trimestre del ejercicio se vieron afectados por la llegada de la segunda ola de COVID-19 a la región. En cuanto a la actividad de la empresa, se continúa trabajando con los protocolos de prevención establecidos por el </w:t>
      </w:r>
      <w:r w:rsidR="0080101E" w:rsidRPr="00FE5001">
        <w:rPr>
          <w:rFonts w:ascii="Times New Roman" w:eastAsia="Times New Roman" w:hAnsi="Times New Roman" w:cs="Times New Roman"/>
          <w:bCs/>
          <w:i/>
          <w:lang w:val="es-ES_tradnl" w:eastAsia="es-ES"/>
        </w:rPr>
        <w:t>g</w:t>
      </w:r>
      <w:r w:rsidRPr="00FE5001">
        <w:rPr>
          <w:rFonts w:ascii="Times New Roman" w:eastAsia="Times New Roman" w:hAnsi="Times New Roman" w:cs="Times New Roman"/>
          <w:bCs/>
          <w:i/>
          <w:lang w:val="es-ES_tradnl" w:eastAsia="es-ES"/>
        </w:rPr>
        <w:t>obierno, no pudiendo explotar el complejo en su totalidad, decidiendo incluso restringir el funcionamiento de los pisos del hotel según la ocupación diaria.</w:t>
      </w:r>
    </w:p>
    <w:p w14:paraId="278ED9FB" w14:textId="5B22F7FD" w:rsidR="00D84A37" w:rsidRPr="00FE5001" w:rsidRDefault="00D84A37" w:rsidP="008E7002">
      <w:pPr>
        <w:spacing w:after="0" w:line="240" w:lineRule="auto"/>
        <w:ind w:left="348"/>
        <w:jc w:val="both"/>
        <w:rPr>
          <w:rFonts w:ascii="Times New Roman" w:eastAsia="Times New Roman" w:hAnsi="Times New Roman" w:cs="Times New Roman"/>
          <w:bCs/>
          <w:i/>
          <w:lang w:val="es-ES_tradnl" w:eastAsia="es-ES"/>
        </w:rPr>
      </w:pPr>
    </w:p>
    <w:p w14:paraId="657F321A" w14:textId="34F3CE1A" w:rsidR="007128AF" w:rsidRPr="00FE5001" w:rsidRDefault="007128AF" w:rsidP="008E7002">
      <w:pPr>
        <w:spacing w:after="0" w:line="240" w:lineRule="auto"/>
        <w:jc w:val="both"/>
        <w:rPr>
          <w:rFonts w:ascii="Times New Roman" w:eastAsia="Times New Roman" w:hAnsi="Times New Roman" w:cs="Times New Roman"/>
          <w:bCs/>
          <w:i/>
          <w:lang w:val="es-ES_tradnl" w:eastAsia="es-ES"/>
        </w:rPr>
      </w:pPr>
      <w:r w:rsidRPr="00FE5001">
        <w:rPr>
          <w:rFonts w:ascii="Times New Roman" w:eastAsia="Times New Roman" w:hAnsi="Times New Roman" w:cs="Times New Roman"/>
          <w:bCs/>
          <w:i/>
          <w:lang w:val="es-ES_tradnl" w:eastAsia="es-ES"/>
        </w:rPr>
        <w:t xml:space="preserve">El desarrollo del último trimestre del ejercicio se presenta de forma muy diferente con relación a los trimestres anteriores, sin interrupciones ni cierres en cuanto a las medidas relacionadas </w:t>
      </w:r>
      <w:r w:rsidR="002C7B07">
        <w:rPr>
          <w:rFonts w:ascii="Times New Roman" w:eastAsia="Times New Roman" w:hAnsi="Times New Roman" w:cs="Times New Roman"/>
          <w:bCs/>
          <w:i/>
          <w:lang w:val="es-ES_tradnl" w:eastAsia="es-ES"/>
        </w:rPr>
        <w:t>a la pandemia</w:t>
      </w:r>
      <w:r w:rsidRPr="00FE5001">
        <w:rPr>
          <w:rFonts w:ascii="Times New Roman" w:eastAsia="Times New Roman" w:hAnsi="Times New Roman" w:cs="Times New Roman"/>
          <w:bCs/>
          <w:i/>
          <w:lang w:val="es-ES_tradnl" w:eastAsia="es-ES"/>
        </w:rPr>
        <w:t>, con aforos y habilitaciones de manera paulatina y progresiva, acompañado en gran medida, por el número de casos presentados en disminución.</w:t>
      </w:r>
    </w:p>
    <w:p w14:paraId="2CCCBF2B" w14:textId="77777777" w:rsidR="00B33A26" w:rsidRPr="00FE5001" w:rsidRDefault="00B33A26" w:rsidP="008E7002">
      <w:pPr>
        <w:spacing w:after="0" w:line="240" w:lineRule="auto"/>
        <w:ind w:left="348"/>
        <w:jc w:val="both"/>
        <w:rPr>
          <w:rFonts w:ascii="Times New Roman" w:eastAsia="Times New Roman" w:hAnsi="Times New Roman" w:cs="Times New Roman"/>
          <w:bCs/>
          <w:i/>
          <w:lang w:val="es-ES_tradnl" w:eastAsia="es-ES"/>
        </w:rPr>
      </w:pPr>
    </w:p>
    <w:p w14:paraId="6B747B06" w14:textId="2EC6136D" w:rsidR="00D84A37" w:rsidRPr="00FE5001" w:rsidRDefault="00D84A37" w:rsidP="00FE5001">
      <w:pPr>
        <w:spacing w:after="0" w:line="240" w:lineRule="auto"/>
        <w:jc w:val="both"/>
        <w:rPr>
          <w:rFonts w:ascii="Times New Roman" w:eastAsia="Times New Roman" w:hAnsi="Times New Roman" w:cs="Times New Roman"/>
          <w:bCs/>
          <w:i/>
          <w:lang w:val="es-ES_tradnl" w:eastAsia="es-ES"/>
        </w:rPr>
      </w:pPr>
      <w:r w:rsidRPr="00FE5001">
        <w:rPr>
          <w:rFonts w:ascii="Times New Roman" w:eastAsia="Times New Roman" w:hAnsi="Times New Roman" w:cs="Times New Roman"/>
          <w:bCs/>
          <w:i/>
          <w:lang w:val="es-ES_tradnl" w:eastAsia="es-ES"/>
        </w:rPr>
        <w:t xml:space="preserve">Al cierre del ejercicio y en base a todo lo mencionado, existe gran expectativa para los meses venideros, de crecimiento y recuperación, por las señales e indicadores demostradas durante el periodo en cuestión, en las distintas unidades de negocio, intentando en todos los aspectos, </w:t>
      </w:r>
      <w:r w:rsidRPr="00FE5001">
        <w:rPr>
          <w:rFonts w:ascii="Times New Roman" w:eastAsia="Times New Roman" w:hAnsi="Times New Roman" w:cs="Times New Roman"/>
          <w:bCs/>
          <w:i/>
          <w:lang w:val="es-ES_tradnl" w:eastAsia="es-ES"/>
        </w:rPr>
        <w:lastRenderedPageBreak/>
        <w:t>demostrar la capacidad de adaptarse y flexibilizarse a estos nuevos cambios de forma tan repentina por las medidas que se vienen decretando y siempre demostrando la mayor predisposición para estos nuevos desafíos que se vienen.</w:t>
      </w:r>
    </w:p>
    <w:p w14:paraId="4A056B38" w14:textId="77777777" w:rsidR="00D84A37" w:rsidRPr="00FE5001" w:rsidRDefault="00D84A37" w:rsidP="008E7002">
      <w:pPr>
        <w:spacing w:after="0" w:line="240" w:lineRule="auto"/>
        <w:ind w:left="348"/>
        <w:jc w:val="both"/>
        <w:rPr>
          <w:rFonts w:ascii="Times New Roman" w:eastAsia="Times New Roman" w:hAnsi="Times New Roman" w:cs="Times New Roman"/>
          <w:b/>
          <w:i/>
          <w:highlight w:val="yellow"/>
          <w:lang w:val="es-ES" w:eastAsia="es-ES"/>
        </w:rPr>
      </w:pPr>
    </w:p>
    <w:p w14:paraId="2DA1A911" w14:textId="08368A93" w:rsidR="00714575" w:rsidRPr="00FE5001" w:rsidRDefault="00714575"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b/>
          <w:i/>
          <w:lang w:val="es-ES" w:eastAsia="es-ES"/>
        </w:rPr>
        <w:t>República del Paraguay</w:t>
      </w:r>
    </w:p>
    <w:p w14:paraId="2DDFB510" w14:textId="4A70EB33" w:rsidR="00714575" w:rsidRPr="00FE5001" w:rsidRDefault="00714575" w:rsidP="00FE5001">
      <w:pPr>
        <w:spacing w:after="0" w:line="240" w:lineRule="auto"/>
        <w:jc w:val="both"/>
        <w:rPr>
          <w:rFonts w:ascii="Times New Roman" w:eastAsia="Times New Roman" w:hAnsi="Times New Roman" w:cs="Times New Roman"/>
          <w:i/>
          <w:lang w:val="es-ES" w:eastAsia="es-ES"/>
        </w:rPr>
      </w:pPr>
    </w:p>
    <w:p w14:paraId="56E1D49F" w14:textId="33C8E9EA" w:rsidR="00385CA6" w:rsidRPr="00FE5001" w:rsidRDefault="00CE7A6A"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Las</w:t>
      </w:r>
      <w:r w:rsidR="00385CA6" w:rsidRPr="00FE5001">
        <w:rPr>
          <w:rFonts w:ascii="Times New Roman" w:eastAsia="Times New Roman" w:hAnsi="Times New Roman" w:cs="Times New Roman"/>
          <w:i/>
          <w:lang w:val="es-ES" w:eastAsia="es-ES"/>
        </w:rPr>
        <w:t xml:space="preserve"> medidas de salud referente al COVID</w:t>
      </w:r>
      <w:r w:rsidR="00FE5001">
        <w:rPr>
          <w:rFonts w:ascii="Times New Roman" w:eastAsia="Times New Roman" w:hAnsi="Times New Roman" w:cs="Times New Roman"/>
          <w:i/>
          <w:lang w:val="es-ES" w:eastAsia="es-ES"/>
        </w:rPr>
        <w:t>-</w:t>
      </w:r>
      <w:r w:rsidR="00385CA6" w:rsidRPr="00FE5001">
        <w:rPr>
          <w:rFonts w:ascii="Times New Roman" w:eastAsia="Times New Roman" w:hAnsi="Times New Roman" w:cs="Times New Roman"/>
          <w:i/>
          <w:lang w:val="es-ES" w:eastAsia="es-ES"/>
        </w:rPr>
        <w:t>19 impuestas por el gobierno nacional de la Republica del Paraguay no ha sufrido mayores diferencias con respecto a lo mencionado en el trimestre anterior, continuando con libertad operativa, sin restricción de horario y aforo, solo respetando el cumplimiento de los protocolos sanitarios correspondientes. La afluencia de público se ha mantenido constante con referencia al trimestre anterior, detectándose un deterioro de la capacidad económica en algunos sectores del público.</w:t>
      </w:r>
    </w:p>
    <w:p w14:paraId="1623B5E4" w14:textId="77777777" w:rsidR="00CE7A6A" w:rsidRPr="00FE5001" w:rsidRDefault="00CE7A6A" w:rsidP="00FE5001">
      <w:pPr>
        <w:spacing w:after="0" w:line="240" w:lineRule="auto"/>
        <w:jc w:val="both"/>
        <w:rPr>
          <w:rFonts w:ascii="Times New Roman" w:eastAsia="Times New Roman" w:hAnsi="Times New Roman" w:cs="Times New Roman"/>
          <w:i/>
          <w:lang w:val="es-ES" w:eastAsia="es-ES"/>
        </w:rPr>
      </w:pPr>
    </w:p>
    <w:p w14:paraId="30A6B520" w14:textId="43696108" w:rsidR="00385CA6" w:rsidRPr="009C0918" w:rsidRDefault="00CE7A6A" w:rsidP="00FE5001">
      <w:pPr>
        <w:spacing w:after="0" w:line="240" w:lineRule="auto"/>
        <w:jc w:val="both"/>
        <w:rPr>
          <w:rFonts w:ascii="Times New Roman" w:eastAsia="Times New Roman" w:hAnsi="Times New Roman" w:cs="Times New Roman"/>
          <w:i/>
          <w:sz w:val="24"/>
          <w:szCs w:val="24"/>
          <w:lang w:val="es-ES" w:eastAsia="es-ES"/>
        </w:rPr>
      </w:pPr>
      <w:r w:rsidRPr="00FE5001">
        <w:rPr>
          <w:rFonts w:ascii="Times New Roman" w:eastAsia="Times New Roman" w:hAnsi="Times New Roman" w:cs="Times New Roman"/>
          <w:i/>
          <w:lang w:val="es-ES" w:eastAsia="es-ES"/>
        </w:rPr>
        <w:t>La</w:t>
      </w:r>
      <w:r w:rsidR="00385CA6" w:rsidRPr="00FE5001">
        <w:rPr>
          <w:rFonts w:ascii="Times New Roman" w:eastAsia="Times New Roman" w:hAnsi="Times New Roman" w:cs="Times New Roman"/>
          <w:i/>
          <w:lang w:val="es-ES" w:eastAsia="es-ES"/>
        </w:rPr>
        <w:t xml:space="preserve"> unidad de negocios de </w:t>
      </w:r>
      <w:r w:rsidRPr="00FE5001">
        <w:rPr>
          <w:rFonts w:ascii="Times New Roman" w:eastAsia="Times New Roman" w:hAnsi="Times New Roman" w:cs="Times New Roman"/>
          <w:i/>
          <w:lang w:val="es-ES" w:eastAsia="es-ES"/>
        </w:rPr>
        <w:t xml:space="preserve">juego </w:t>
      </w:r>
      <w:proofErr w:type="spellStart"/>
      <w:r w:rsidRPr="00FE5001">
        <w:rPr>
          <w:rFonts w:ascii="Times New Roman" w:eastAsia="Times New Roman" w:hAnsi="Times New Roman" w:cs="Times New Roman"/>
          <w:i/>
          <w:lang w:val="es-ES" w:eastAsia="es-ES"/>
        </w:rPr>
        <w:t>On</w:t>
      </w:r>
      <w:proofErr w:type="spellEnd"/>
      <w:r w:rsidRPr="00FE5001">
        <w:rPr>
          <w:rFonts w:ascii="Times New Roman" w:eastAsia="Times New Roman" w:hAnsi="Times New Roman" w:cs="Times New Roman"/>
          <w:i/>
          <w:lang w:val="es-ES" w:eastAsia="es-ES"/>
        </w:rPr>
        <w:t xml:space="preserve"> line provisto por </w:t>
      </w:r>
      <w:proofErr w:type="spellStart"/>
      <w:r w:rsidR="0080101E" w:rsidRPr="00FE5001">
        <w:rPr>
          <w:rFonts w:ascii="Times New Roman" w:eastAsia="Times New Roman" w:hAnsi="Times New Roman" w:cs="Times New Roman"/>
          <w:i/>
          <w:lang w:val="es-ES" w:eastAsia="es-ES"/>
        </w:rPr>
        <w:t>bplay</w:t>
      </w:r>
      <w:proofErr w:type="spellEnd"/>
      <w:r w:rsidR="00385CA6" w:rsidRPr="00FE5001">
        <w:rPr>
          <w:rFonts w:ascii="Times New Roman" w:eastAsia="Times New Roman" w:hAnsi="Times New Roman" w:cs="Times New Roman"/>
          <w:i/>
          <w:lang w:val="es-ES" w:eastAsia="es-ES"/>
        </w:rPr>
        <w:t xml:space="preserve"> </w:t>
      </w:r>
      <w:r w:rsidR="00D25D0E">
        <w:rPr>
          <w:rFonts w:ascii="Times New Roman" w:eastAsia="Times New Roman" w:hAnsi="Times New Roman" w:cs="Times New Roman"/>
          <w:i/>
          <w:lang w:val="es-ES" w:eastAsia="es-ES"/>
        </w:rPr>
        <w:t xml:space="preserve">viene mostrando </w:t>
      </w:r>
      <w:r w:rsidR="00385CA6" w:rsidRPr="00FE5001">
        <w:rPr>
          <w:rFonts w:ascii="Times New Roman" w:eastAsia="Times New Roman" w:hAnsi="Times New Roman" w:cs="Times New Roman"/>
          <w:i/>
          <w:lang w:val="es-ES" w:eastAsia="es-ES"/>
        </w:rPr>
        <w:t xml:space="preserve">un crecimiento </w:t>
      </w:r>
      <w:r w:rsidR="00D25D0E">
        <w:rPr>
          <w:rFonts w:ascii="Times New Roman" w:eastAsia="Times New Roman" w:hAnsi="Times New Roman" w:cs="Times New Roman"/>
          <w:i/>
          <w:lang w:val="es-ES" w:eastAsia="es-ES"/>
        </w:rPr>
        <w:t xml:space="preserve">sostenido </w:t>
      </w:r>
      <w:r w:rsidR="00385CA6" w:rsidRPr="00FE5001">
        <w:rPr>
          <w:rFonts w:ascii="Times New Roman" w:eastAsia="Times New Roman" w:hAnsi="Times New Roman" w:cs="Times New Roman"/>
          <w:i/>
          <w:lang w:val="es-ES" w:eastAsia="es-ES"/>
        </w:rPr>
        <w:t>en lo referido al público de Paraguay</w:t>
      </w:r>
      <w:r w:rsidR="00385CA6" w:rsidRPr="009C0918">
        <w:rPr>
          <w:rFonts w:ascii="Times New Roman" w:eastAsia="Times New Roman" w:hAnsi="Times New Roman" w:cs="Times New Roman"/>
          <w:i/>
          <w:sz w:val="24"/>
          <w:szCs w:val="24"/>
          <w:lang w:val="es-ES" w:eastAsia="es-ES"/>
        </w:rPr>
        <w:t xml:space="preserve"> manteniéndose estable </w:t>
      </w:r>
      <w:r w:rsidRPr="009C0918">
        <w:rPr>
          <w:rFonts w:ascii="Times New Roman" w:eastAsia="Times New Roman" w:hAnsi="Times New Roman" w:cs="Times New Roman"/>
          <w:i/>
          <w:sz w:val="24"/>
          <w:szCs w:val="24"/>
          <w:lang w:val="es-ES" w:eastAsia="es-ES"/>
        </w:rPr>
        <w:t>también</w:t>
      </w:r>
      <w:r w:rsidR="00385CA6" w:rsidRPr="009C0918">
        <w:rPr>
          <w:rFonts w:ascii="Times New Roman" w:eastAsia="Times New Roman" w:hAnsi="Times New Roman" w:cs="Times New Roman"/>
          <w:i/>
          <w:sz w:val="24"/>
          <w:szCs w:val="24"/>
          <w:lang w:val="es-ES" w:eastAsia="es-ES"/>
        </w:rPr>
        <w:t>.</w:t>
      </w:r>
    </w:p>
    <w:p w14:paraId="68FBE95A" w14:textId="67161F49" w:rsidR="007128AF" w:rsidRPr="00FE5001" w:rsidRDefault="007128AF" w:rsidP="00FE5001">
      <w:pPr>
        <w:spacing w:after="0" w:line="240" w:lineRule="auto"/>
        <w:jc w:val="both"/>
        <w:rPr>
          <w:rFonts w:ascii="Times New Roman" w:eastAsia="Times New Roman" w:hAnsi="Times New Roman" w:cs="Times New Roman"/>
          <w:i/>
          <w:highlight w:val="yellow"/>
          <w:lang w:val="es-ES" w:eastAsia="es-ES"/>
        </w:rPr>
      </w:pPr>
    </w:p>
    <w:p w14:paraId="7A31F004" w14:textId="77777777" w:rsidR="00714575" w:rsidRPr="00FE5001" w:rsidRDefault="00714575" w:rsidP="00FE5001">
      <w:pPr>
        <w:numPr>
          <w:ilvl w:val="0"/>
          <w:numId w:val="1"/>
        </w:numPr>
        <w:spacing w:after="0" w:line="240" w:lineRule="auto"/>
        <w:ind w:left="0" w:firstLine="0"/>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Ámbito local</w:t>
      </w:r>
    </w:p>
    <w:p w14:paraId="68D1B50C" w14:textId="77777777" w:rsidR="00714575" w:rsidRPr="00FE5001" w:rsidRDefault="00714575" w:rsidP="00FE5001">
      <w:pPr>
        <w:spacing w:after="0" w:line="240" w:lineRule="auto"/>
        <w:jc w:val="both"/>
        <w:rPr>
          <w:rFonts w:ascii="Times New Roman" w:eastAsia="Times New Roman" w:hAnsi="Times New Roman" w:cs="Times New Roman"/>
          <w:i/>
          <w:lang w:val="es-ES" w:eastAsia="es-ES"/>
        </w:rPr>
      </w:pPr>
    </w:p>
    <w:p w14:paraId="501B8744" w14:textId="2897991C" w:rsidR="00714575" w:rsidRPr="00FE5001" w:rsidRDefault="0069526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b/>
          <w:i/>
          <w:lang w:val="es-ES" w:eastAsia="es-ES"/>
        </w:rPr>
        <w:t xml:space="preserve">Provincia de </w:t>
      </w:r>
      <w:r w:rsidR="00714575" w:rsidRPr="00FE5001">
        <w:rPr>
          <w:rFonts w:ascii="Times New Roman" w:eastAsia="Times New Roman" w:hAnsi="Times New Roman" w:cs="Times New Roman"/>
          <w:b/>
          <w:i/>
          <w:lang w:val="es-ES" w:eastAsia="es-ES"/>
        </w:rPr>
        <w:t>Buenos Aires</w:t>
      </w:r>
      <w:r w:rsidR="00714575" w:rsidRPr="00FE5001">
        <w:rPr>
          <w:rFonts w:ascii="Times New Roman" w:eastAsia="Times New Roman" w:hAnsi="Times New Roman" w:cs="Times New Roman"/>
          <w:i/>
          <w:lang w:val="es-ES" w:eastAsia="es-ES"/>
        </w:rPr>
        <w:t xml:space="preserve"> </w:t>
      </w:r>
    </w:p>
    <w:p w14:paraId="45799396" w14:textId="57842E88" w:rsidR="00E41AF6" w:rsidRPr="00FE5001" w:rsidRDefault="00E41AF6" w:rsidP="00FE5001">
      <w:pPr>
        <w:spacing w:after="0" w:line="240" w:lineRule="auto"/>
        <w:jc w:val="both"/>
        <w:rPr>
          <w:rFonts w:ascii="Times New Roman" w:eastAsia="Times New Roman" w:hAnsi="Times New Roman" w:cs="Times New Roman"/>
          <w:i/>
          <w:highlight w:val="yellow"/>
          <w:lang w:val="es-ES" w:eastAsia="es-ES"/>
        </w:rPr>
      </w:pPr>
    </w:p>
    <w:p w14:paraId="5CBEBF57" w14:textId="3CBC4088" w:rsidR="002B4EBA" w:rsidRPr="00FE5001" w:rsidRDefault="002B4EBA"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20 de agosto Boldt SA suscribió el contrato que materializó el resultado de la </w:t>
      </w:r>
      <w:r w:rsidR="0080101E" w:rsidRPr="00FE5001">
        <w:rPr>
          <w:rFonts w:ascii="Times New Roman" w:eastAsia="Times New Roman" w:hAnsi="Times New Roman" w:cs="Times New Roman"/>
          <w:i/>
          <w:lang w:val="es-ES" w:eastAsia="es-ES"/>
        </w:rPr>
        <w:t>L</w:t>
      </w:r>
      <w:r w:rsidRPr="00FE5001">
        <w:rPr>
          <w:rFonts w:ascii="Times New Roman" w:eastAsia="Times New Roman" w:hAnsi="Times New Roman" w:cs="Times New Roman"/>
          <w:i/>
          <w:lang w:val="es-ES" w:eastAsia="es-ES"/>
        </w:rPr>
        <w:t xml:space="preserve">icitación </w:t>
      </w:r>
      <w:r w:rsidR="0080101E" w:rsidRPr="00FE5001">
        <w:rPr>
          <w:rFonts w:ascii="Times New Roman" w:eastAsia="Times New Roman" w:hAnsi="Times New Roman" w:cs="Times New Roman"/>
          <w:i/>
          <w:iCs/>
          <w:lang w:val="es-ES" w:eastAsia="es-ES"/>
        </w:rPr>
        <w:t xml:space="preserve">Pública </w:t>
      </w:r>
      <w:proofErr w:type="spellStart"/>
      <w:r w:rsidR="0080101E" w:rsidRPr="00FE5001">
        <w:rPr>
          <w:rFonts w:ascii="Times New Roman" w:eastAsia="Times New Roman" w:hAnsi="Times New Roman" w:cs="Times New Roman"/>
          <w:i/>
          <w:iCs/>
          <w:lang w:val="es-ES" w:eastAsia="es-ES"/>
        </w:rPr>
        <w:t>N°</w:t>
      </w:r>
      <w:proofErr w:type="spellEnd"/>
      <w:r w:rsidR="0080101E" w:rsidRPr="00FE5001">
        <w:rPr>
          <w:rFonts w:ascii="Times New Roman" w:eastAsia="Times New Roman" w:hAnsi="Times New Roman" w:cs="Times New Roman"/>
          <w:i/>
          <w:iCs/>
          <w:lang w:val="es-ES" w:eastAsia="es-ES"/>
        </w:rPr>
        <w:t xml:space="preserve"> 1/18 para la contratación de un Servicio Integral para los Casinos de la Provincia de Buenos Aires</w:t>
      </w:r>
      <w:r w:rsidR="0080101E" w:rsidRPr="00FE5001">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 xml:space="preserve">cuyo objeto se relaciona con las obligaciones asumidas por Boldt S.A en relación con la adjudicación del Renglón </w:t>
      </w:r>
      <w:proofErr w:type="spellStart"/>
      <w:r w:rsidRPr="00FE5001">
        <w:rPr>
          <w:rFonts w:ascii="Times New Roman" w:eastAsia="Times New Roman" w:hAnsi="Times New Roman" w:cs="Times New Roman"/>
          <w:i/>
          <w:lang w:val="es-ES" w:eastAsia="es-ES"/>
        </w:rPr>
        <w:t>Nº</w:t>
      </w:r>
      <w:proofErr w:type="spellEnd"/>
      <w:r w:rsidRPr="00FE5001">
        <w:rPr>
          <w:rFonts w:ascii="Times New Roman" w:eastAsia="Times New Roman" w:hAnsi="Times New Roman" w:cs="Times New Roman"/>
          <w:i/>
          <w:lang w:val="es-ES" w:eastAsia="es-ES"/>
        </w:rPr>
        <w:t xml:space="preserve"> 1 (conformado por el Casino de Tigre y Casino de Pinamar), con lo cual </w:t>
      </w:r>
      <w:proofErr w:type="spellStart"/>
      <w:r w:rsidRPr="00FE5001">
        <w:rPr>
          <w:rFonts w:ascii="Times New Roman" w:eastAsia="Times New Roman" w:hAnsi="Times New Roman" w:cs="Times New Roman"/>
          <w:i/>
          <w:lang w:val="es-ES" w:eastAsia="es-ES"/>
        </w:rPr>
        <w:t>Trilenium</w:t>
      </w:r>
      <w:proofErr w:type="spellEnd"/>
      <w:r w:rsidRPr="00FE5001">
        <w:rPr>
          <w:rFonts w:ascii="Times New Roman" w:eastAsia="Times New Roman" w:hAnsi="Times New Roman" w:cs="Times New Roman"/>
          <w:i/>
          <w:lang w:val="es-ES" w:eastAsia="es-ES"/>
        </w:rPr>
        <w:t xml:space="preserve"> S.A.U. deja a partir del 1º de enero de 2022 de prestar los servicios</w:t>
      </w:r>
      <w:r w:rsidR="0048058A" w:rsidRPr="00FE5001">
        <w:rPr>
          <w:rFonts w:ascii="Times New Roman" w:eastAsia="Times New Roman" w:hAnsi="Times New Roman" w:cs="Times New Roman"/>
          <w:i/>
          <w:lang w:val="es-ES" w:eastAsia="es-ES"/>
        </w:rPr>
        <w:t xml:space="preserve"> en la sala de Tigre</w:t>
      </w:r>
      <w:r w:rsidRPr="00FE5001">
        <w:rPr>
          <w:rFonts w:ascii="Times New Roman" w:eastAsia="Times New Roman" w:hAnsi="Times New Roman" w:cs="Times New Roman"/>
          <w:i/>
          <w:lang w:val="es-ES" w:eastAsia="es-ES"/>
        </w:rPr>
        <w:t xml:space="preserve"> que venía prestando hasta el momento.</w:t>
      </w:r>
    </w:p>
    <w:p w14:paraId="458D9373" w14:textId="77777777" w:rsidR="002B4EBA" w:rsidRPr="00FE5001" w:rsidRDefault="002B4EBA" w:rsidP="00FE5001">
      <w:pPr>
        <w:spacing w:after="0" w:line="240" w:lineRule="auto"/>
        <w:jc w:val="both"/>
        <w:rPr>
          <w:rFonts w:ascii="Times New Roman" w:eastAsia="Times New Roman" w:hAnsi="Times New Roman" w:cs="Times New Roman"/>
          <w:i/>
          <w:lang w:val="es-ES" w:eastAsia="es-ES"/>
        </w:rPr>
      </w:pPr>
    </w:p>
    <w:p w14:paraId="6CA7AA80" w14:textId="463A5B64" w:rsidR="002B4EBA" w:rsidRPr="00FE5001" w:rsidRDefault="002B4EBA"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Al partir del mes de julio </w:t>
      </w:r>
      <w:r w:rsidR="0080101E" w:rsidRPr="00FE5001">
        <w:rPr>
          <w:rFonts w:ascii="Times New Roman" w:eastAsia="Times New Roman" w:hAnsi="Times New Roman" w:cs="Times New Roman"/>
          <w:i/>
          <w:lang w:val="es-ES" w:eastAsia="es-ES"/>
        </w:rPr>
        <w:t xml:space="preserve">de 2021 </w:t>
      </w:r>
      <w:r w:rsidRPr="00FE5001">
        <w:rPr>
          <w:rFonts w:ascii="Times New Roman" w:eastAsia="Times New Roman" w:hAnsi="Times New Roman" w:cs="Times New Roman"/>
          <w:i/>
          <w:lang w:val="es-ES" w:eastAsia="es-ES"/>
        </w:rPr>
        <w:t>las autoridades autorizaron la reapertura de</w:t>
      </w:r>
      <w:r w:rsidR="0080101E" w:rsidRPr="00FE5001">
        <w:rPr>
          <w:rFonts w:ascii="Times New Roman" w:eastAsia="Times New Roman" w:hAnsi="Times New Roman" w:cs="Times New Roman"/>
          <w:i/>
          <w:lang w:val="es-ES" w:eastAsia="es-ES"/>
        </w:rPr>
        <w:t xml:space="preserve"> dicho</w:t>
      </w:r>
      <w:r w:rsidRPr="00FE5001">
        <w:rPr>
          <w:rFonts w:ascii="Times New Roman" w:eastAsia="Times New Roman" w:hAnsi="Times New Roman" w:cs="Times New Roman"/>
          <w:i/>
          <w:lang w:val="es-ES" w:eastAsia="es-ES"/>
        </w:rPr>
        <w:t xml:space="preserve"> casino con aforo y horario reducido, lo cual, si bien dista de los ingresos y cantidad de público habituales</w:t>
      </w:r>
      <w:r w:rsidR="0080101E"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ha permitido comenzar a tener actividad nuevamente lo que sumado a la firma del contrato con Boldt S.A. para la prestación de servicios nos hacen tener un futuro más optimista que años anteriores.</w:t>
      </w:r>
    </w:p>
    <w:p w14:paraId="630EF7CE" w14:textId="77777777" w:rsidR="006F504A" w:rsidRPr="00FE5001" w:rsidRDefault="006F504A" w:rsidP="00FE5001">
      <w:pPr>
        <w:spacing w:after="0" w:line="240" w:lineRule="auto"/>
        <w:jc w:val="both"/>
        <w:rPr>
          <w:rFonts w:ascii="Times New Roman" w:eastAsia="Times New Roman" w:hAnsi="Times New Roman" w:cs="Times New Roman"/>
          <w:i/>
          <w:lang w:val="es-ES" w:eastAsia="es-ES"/>
        </w:rPr>
      </w:pPr>
    </w:p>
    <w:p w14:paraId="2877564C" w14:textId="33845956" w:rsidR="002B4EBA" w:rsidRPr="00FE5001" w:rsidRDefault="002B4EBA"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La reapertura </w:t>
      </w:r>
      <w:r w:rsidR="0080101E" w:rsidRPr="00FE5001">
        <w:rPr>
          <w:rFonts w:ascii="Times New Roman" w:eastAsia="Times New Roman" w:hAnsi="Times New Roman" w:cs="Times New Roman"/>
          <w:i/>
          <w:lang w:val="es-ES" w:eastAsia="es-ES"/>
        </w:rPr>
        <w:t xml:space="preserve">de dicha sala </w:t>
      </w:r>
      <w:r w:rsidRPr="00FE5001">
        <w:rPr>
          <w:rFonts w:ascii="Times New Roman" w:eastAsia="Times New Roman" w:hAnsi="Times New Roman" w:cs="Times New Roman"/>
          <w:i/>
          <w:lang w:val="es-ES" w:eastAsia="es-ES"/>
        </w:rPr>
        <w:t xml:space="preserve">fue </w:t>
      </w:r>
      <w:r w:rsidR="00695269" w:rsidRPr="00FE5001">
        <w:rPr>
          <w:rFonts w:ascii="Times New Roman" w:eastAsia="Times New Roman" w:hAnsi="Times New Roman" w:cs="Times New Roman"/>
          <w:i/>
          <w:lang w:val="es-ES" w:eastAsia="es-ES"/>
        </w:rPr>
        <w:t xml:space="preserve">efectuada </w:t>
      </w:r>
      <w:r w:rsidRPr="00FE5001">
        <w:rPr>
          <w:rFonts w:ascii="Times New Roman" w:eastAsia="Times New Roman" w:hAnsi="Times New Roman" w:cs="Times New Roman"/>
          <w:i/>
          <w:lang w:val="es-ES" w:eastAsia="es-ES"/>
        </w:rPr>
        <w:t>con un aforo del 50% de la capacidad de jugadores en relación con las máquinas tragamonedas instaladas en la sala de juegos,</w:t>
      </w:r>
      <w:r w:rsidR="00695269" w:rsidRPr="00FE5001">
        <w:rPr>
          <w:rFonts w:ascii="Times New Roman" w:eastAsia="Times New Roman" w:hAnsi="Times New Roman" w:cs="Times New Roman"/>
          <w:i/>
          <w:lang w:val="es-ES" w:eastAsia="es-ES"/>
        </w:rPr>
        <w:t xml:space="preserve"> </w:t>
      </w:r>
      <w:r w:rsidR="0048058A" w:rsidRPr="00FE5001">
        <w:rPr>
          <w:rFonts w:ascii="Times New Roman" w:eastAsia="Times New Roman" w:hAnsi="Times New Roman" w:cs="Times New Roman"/>
          <w:i/>
          <w:lang w:val="es-ES" w:eastAsia="es-ES"/>
        </w:rPr>
        <w:t xml:space="preserve">y asimismo </w:t>
      </w:r>
      <w:r w:rsidRPr="00FE5001">
        <w:rPr>
          <w:rFonts w:ascii="Times New Roman" w:eastAsia="Times New Roman" w:hAnsi="Times New Roman" w:cs="Times New Roman"/>
          <w:i/>
          <w:lang w:val="es-ES" w:eastAsia="es-ES"/>
        </w:rPr>
        <w:t>siguen todos los protocolos emanados de las autoridades municipales, provinciales y nacionales</w:t>
      </w:r>
      <w:r w:rsidR="00421CA5"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w:t>
      </w:r>
    </w:p>
    <w:p w14:paraId="54F9445B" w14:textId="77777777" w:rsidR="00421CA5" w:rsidRPr="00FE5001" w:rsidRDefault="00421CA5" w:rsidP="00FE5001">
      <w:pPr>
        <w:spacing w:after="0" w:line="240" w:lineRule="auto"/>
        <w:jc w:val="both"/>
        <w:rPr>
          <w:rFonts w:ascii="Times New Roman" w:eastAsia="Times New Roman" w:hAnsi="Times New Roman" w:cs="Times New Roman"/>
          <w:i/>
          <w:lang w:val="es-ES" w:eastAsia="es-ES"/>
        </w:rPr>
      </w:pPr>
    </w:p>
    <w:p w14:paraId="4B2129D9" w14:textId="32AE08AE" w:rsidR="00714575" w:rsidRPr="00FE5001" w:rsidRDefault="00695269" w:rsidP="00FE5001">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 xml:space="preserve">Provincia de </w:t>
      </w:r>
      <w:r w:rsidR="00714575" w:rsidRPr="00FE5001">
        <w:rPr>
          <w:rFonts w:ascii="Times New Roman" w:eastAsia="Times New Roman" w:hAnsi="Times New Roman" w:cs="Times New Roman"/>
          <w:b/>
          <w:i/>
          <w:lang w:val="es-ES" w:eastAsia="es-ES"/>
        </w:rPr>
        <w:t>Santa Fe</w:t>
      </w:r>
    </w:p>
    <w:p w14:paraId="4A89CE55" w14:textId="7C057919" w:rsidR="00714575" w:rsidRPr="00FE5001" w:rsidRDefault="00714575" w:rsidP="008E7002">
      <w:pPr>
        <w:spacing w:after="0" w:line="240" w:lineRule="auto"/>
        <w:jc w:val="both"/>
        <w:rPr>
          <w:rFonts w:ascii="Times New Roman" w:eastAsia="Times New Roman" w:hAnsi="Times New Roman" w:cs="Times New Roman"/>
          <w:b/>
          <w:i/>
          <w:lang w:val="es-ES" w:eastAsia="es-ES"/>
        </w:rPr>
      </w:pPr>
      <w:bookmarkStart w:id="10" w:name="_Hlk534385338"/>
    </w:p>
    <w:p w14:paraId="3D7F67D2" w14:textId="65389EC7" w:rsidR="00111858" w:rsidRPr="00FE5001" w:rsidRDefault="00111858"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inicio del ejercicio se presentaba con noticias alentadoras para el desarrollo de las actividades, comenzando a transitar el camino hacia la nueva normalidad, </w:t>
      </w:r>
      <w:r w:rsidR="00EE28F2" w:rsidRPr="00FE5001">
        <w:rPr>
          <w:rFonts w:ascii="Times New Roman" w:eastAsia="Times New Roman" w:hAnsi="Times New Roman" w:cs="Times New Roman"/>
          <w:i/>
          <w:lang w:val="es-ES" w:eastAsia="es-ES"/>
        </w:rPr>
        <w:t xml:space="preserve">y </w:t>
      </w:r>
      <w:r w:rsidR="00915B5E" w:rsidRPr="00FE5001">
        <w:rPr>
          <w:rFonts w:ascii="Times New Roman" w:eastAsia="Times New Roman" w:hAnsi="Times New Roman" w:cs="Times New Roman"/>
          <w:i/>
          <w:lang w:val="es-ES" w:eastAsia="es-ES"/>
        </w:rPr>
        <w:t xml:space="preserve">en el mes de diciembre </w:t>
      </w:r>
      <w:r w:rsidR="00695269" w:rsidRPr="00FE5001">
        <w:rPr>
          <w:rFonts w:ascii="Times New Roman" w:eastAsia="Times New Roman" w:hAnsi="Times New Roman" w:cs="Times New Roman"/>
          <w:i/>
          <w:lang w:val="es-ES" w:eastAsia="es-ES"/>
        </w:rPr>
        <w:t xml:space="preserve">de 2020 </w:t>
      </w:r>
      <w:r w:rsidR="00915B5E" w:rsidRPr="00FE5001">
        <w:rPr>
          <w:rFonts w:ascii="Times New Roman" w:eastAsia="Times New Roman" w:hAnsi="Times New Roman" w:cs="Times New Roman"/>
          <w:i/>
          <w:lang w:val="es-ES" w:eastAsia="es-ES"/>
        </w:rPr>
        <w:t>se llevó acabo la apertura de las salas, con una capacidad reducida y bajo estrictos controles y protocolos de prevención lo cual implicaba horario reducido y aforo limitado.</w:t>
      </w:r>
      <w:r w:rsidRPr="00FE5001">
        <w:rPr>
          <w:rFonts w:ascii="Times New Roman" w:eastAsia="Times New Roman" w:hAnsi="Times New Roman" w:cs="Times New Roman"/>
          <w:i/>
          <w:lang w:val="es-ES" w:eastAsia="es-ES"/>
        </w:rPr>
        <w:t xml:space="preserve"> </w:t>
      </w:r>
    </w:p>
    <w:p w14:paraId="54257AFB" w14:textId="77777777" w:rsidR="00915B5E" w:rsidRPr="00FE5001" w:rsidRDefault="00915B5E" w:rsidP="008E7002">
      <w:pPr>
        <w:spacing w:after="0" w:line="240" w:lineRule="auto"/>
        <w:jc w:val="both"/>
        <w:rPr>
          <w:rFonts w:ascii="Times New Roman" w:eastAsia="Times New Roman" w:hAnsi="Times New Roman" w:cs="Times New Roman"/>
          <w:i/>
          <w:lang w:val="es-ES" w:eastAsia="es-ES"/>
        </w:rPr>
      </w:pPr>
    </w:p>
    <w:p w14:paraId="0EB1F388" w14:textId="48301F2B" w:rsidR="00915B5E" w:rsidRPr="00FE5001" w:rsidRDefault="00915B5E"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Durante el desarrollo del segundo y tercer trimestre del ejercicio, debimos enfrentar nuevamente el cierre de la</w:t>
      </w:r>
      <w:r w:rsidR="00695269" w:rsidRPr="00FE5001">
        <w:rPr>
          <w:rFonts w:ascii="Times New Roman" w:eastAsia="Times New Roman" w:hAnsi="Times New Roman" w:cs="Times New Roman"/>
          <w:i/>
          <w:lang w:val="es-ES" w:eastAsia="es-ES"/>
        </w:rPr>
        <w:t>s</w:t>
      </w:r>
      <w:r w:rsidRPr="00FE5001">
        <w:rPr>
          <w:rFonts w:ascii="Times New Roman" w:eastAsia="Times New Roman" w:hAnsi="Times New Roman" w:cs="Times New Roman"/>
          <w:i/>
          <w:lang w:val="es-ES" w:eastAsia="es-ES"/>
        </w:rPr>
        <w:t xml:space="preserve"> salas de casinos</w:t>
      </w:r>
      <w:r w:rsidR="00DE0B38"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w:t>
      </w:r>
      <w:r w:rsidR="00DE0B38" w:rsidRPr="00FE5001">
        <w:rPr>
          <w:rFonts w:ascii="Times New Roman" w:eastAsia="Times New Roman" w:hAnsi="Times New Roman" w:cs="Times New Roman"/>
          <w:i/>
          <w:lang w:val="es-ES" w:eastAsia="es-ES"/>
        </w:rPr>
        <w:t>dado la Nación anunció una batería de nuevas medidas de restricción con el objetivo de contener la escalada de nuevos casos de coronavirus registrados.</w:t>
      </w:r>
      <w:r w:rsidRPr="00FE5001">
        <w:rPr>
          <w:rFonts w:ascii="Times New Roman" w:eastAsia="Times New Roman" w:hAnsi="Times New Roman" w:cs="Times New Roman"/>
          <w:i/>
          <w:lang w:val="es-ES" w:eastAsia="es-ES"/>
        </w:rPr>
        <w:t xml:space="preserve"> </w:t>
      </w:r>
    </w:p>
    <w:p w14:paraId="6068F5B7" w14:textId="7867CE72" w:rsidR="00DE0B38" w:rsidRPr="00FE5001" w:rsidRDefault="00DE0B38" w:rsidP="008E7002">
      <w:pPr>
        <w:spacing w:after="0" w:line="240" w:lineRule="auto"/>
        <w:jc w:val="both"/>
        <w:rPr>
          <w:rFonts w:ascii="Times New Roman" w:eastAsia="Times New Roman" w:hAnsi="Times New Roman" w:cs="Times New Roman"/>
          <w:i/>
          <w:lang w:val="es-ES" w:eastAsia="es-ES"/>
        </w:rPr>
      </w:pPr>
    </w:p>
    <w:p w14:paraId="4167F176" w14:textId="6D740C87" w:rsidR="00DE0B38" w:rsidRPr="00FE5001" w:rsidRDefault="00DE0B38"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desarrollo del cuarto trimestre del </w:t>
      </w:r>
      <w:proofErr w:type="gramStart"/>
      <w:r w:rsidRPr="00FE5001">
        <w:rPr>
          <w:rFonts w:ascii="Times New Roman" w:eastAsia="Times New Roman" w:hAnsi="Times New Roman" w:cs="Times New Roman"/>
          <w:i/>
          <w:lang w:val="es-ES" w:eastAsia="es-ES"/>
        </w:rPr>
        <w:t>ejercicio,</w:t>
      </w:r>
      <w:proofErr w:type="gramEnd"/>
      <w:r w:rsidRPr="00FE5001">
        <w:rPr>
          <w:rFonts w:ascii="Times New Roman" w:eastAsia="Times New Roman" w:hAnsi="Times New Roman" w:cs="Times New Roman"/>
          <w:i/>
          <w:lang w:val="es-ES" w:eastAsia="es-ES"/>
        </w:rPr>
        <w:t xml:space="preserve"> se presentó de forma muy diferente </w:t>
      </w:r>
      <w:r w:rsidR="00695269" w:rsidRPr="00FE5001">
        <w:rPr>
          <w:rFonts w:ascii="Times New Roman" w:eastAsia="Times New Roman" w:hAnsi="Times New Roman" w:cs="Times New Roman"/>
          <w:i/>
          <w:lang w:val="es-ES" w:eastAsia="es-ES"/>
        </w:rPr>
        <w:t>con</w:t>
      </w:r>
      <w:r w:rsidRPr="00FE5001">
        <w:rPr>
          <w:rFonts w:ascii="Times New Roman" w:eastAsia="Times New Roman" w:hAnsi="Times New Roman" w:cs="Times New Roman"/>
          <w:i/>
          <w:lang w:val="es-ES" w:eastAsia="es-ES"/>
        </w:rPr>
        <w:t xml:space="preserve"> relación a los trimestres anteriores, debido a la actividad del complejo, sin interrupciones ni cierres en cuanto a las medidas</w:t>
      </w:r>
      <w:r w:rsidR="009C0918">
        <w:rPr>
          <w:rFonts w:ascii="Times New Roman" w:eastAsia="Times New Roman" w:hAnsi="Times New Roman" w:cs="Times New Roman"/>
          <w:i/>
          <w:lang w:val="es-ES" w:eastAsia="es-ES"/>
        </w:rPr>
        <w:t xml:space="preserve"> de restricción</w:t>
      </w:r>
      <w:r w:rsidRPr="00FE5001">
        <w:rPr>
          <w:rFonts w:ascii="Times New Roman" w:eastAsia="Times New Roman" w:hAnsi="Times New Roman" w:cs="Times New Roman"/>
          <w:i/>
          <w:lang w:val="es-ES" w:eastAsia="es-ES"/>
        </w:rPr>
        <w:t xml:space="preserve"> relacionadas, producto en gran parte del avance en la campaña de vacunación y con ello la disminución de casos positivos. </w:t>
      </w:r>
    </w:p>
    <w:p w14:paraId="26D28912" w14:textId="7F75C801" w:rsidR="00DE0B38" w:rsidRPr="00FE5001" w:rsidRDefault="00DE0B38" w:rsidP="008E7002">
      <w:pPr>
        <w:spacing w:after="0" w:line="240" w:lineRule="auto"/>
        <w:jc w:val="both"/>
        <w:rPr>
          <w:rFonts w:ascii="Times New Roman" w:eastAsia="Times New Roman" w:hAnsi="Times New Roman" w:cs="Times New Roman"/>
          <w:i/>
          <w:lang w:val="es-ES" w:eastAsia="es-ES"/>
        </w:rPr>
      </w:pPr>
    </w:p>
    <w:p w14:paraId="6486CE44" w14:textId="67D0F8EB" w:rsidR="00DE0B38" w:rsidRPr="00FE5001" w:rsidRDefault="00DE0B38"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lastRenderedPageBreak/>
        <w:t xml:space="preserve">Al cierre de este último ejercicio y en base a todo lo mencionado, existe gran expectativa para los meses venideros, de crecimiento y recuperación, </w:t>
      </w:r>
      <w:r w:rsidR="00695269" w:rsidRPr="00FE5001">
        <w:rPr>
          <w:rFonts w:ascii="Times New Roman" w:eastAsia="Times New Roman" w:hAnsi="Times New Roman" w:cs="Times New Roman"/>
          <w:i/>
          <w:lang w:val="es-ES" w:eastAsia="es-ES"/>
        </w:rPr>
        <w:t>en virtud de</w:t>
      </w:r>
      <w:r w:rsidRPr="00FE5001">
        <w:rPr>
          <w:rFonts w:ascii="Times New Roman" w:eastAsia="Times New Roman" w:hAnsi="Times New Roman" w:cs="Times New Roman"/>
          <w:i/>
          <w:lang w:val="es-ES" w:eastAsia="es-ES"/>
        </w:rPr>
        <w:t xml:space="preserve"> las señales e indicadores demostradas durante el periodo en cuestión, en las distintas unidades de negocio,</w:t>
      </w:r>
      <w:r w:rsidR="002F6CDA" w:rsidRPr="00FE5001">
        <w:rPr>
          <w:rFonts w:ascii="Times New Roman" w:eastAsia="Times New Roman" w:hAnsi="Times New Roman" w:cs="Times New Roman"/>
          <w:i/>
          <w:lang w:val="es-ES" w:eastAsia="es-ES"/>
        </w:rPr>
        <w:t xml:space="preserve"> lo que pone de manifiesto</w:t>
      </w:r>
      <w:r w:rsidR="00695269" w:rsidRPr="00FE5001">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 xml:space="preserve">en todos los aspectos, </w:t>
      </w:r>
      <w:r w:rsidR="00695269" w:rsidRPr="00FE5001">
        <w:rPr>
          <w:rFonts w:ascii="Times New Roman" w:eastAsia="Times New Roman" w:hAnsi="Times New Roman" w:cs="Times New Roman"/>
          <w:i/>
          <w:lang w:val="es-ES" w:eastAsia="es-ES"/>
        </w:rPr>
        <w:t xml:space="preserve">nuestra </w:t>
      </w:r>
      <w:r w:rsidRPr="00FE5001">
        <w:rPr>
          <w:rFonts w:ascii="Times New Roman" w:eastAsia="Times New Roman" w:hAnsi="Times New Roman" w:cs="Times New Roman"/>
          <w:i/>
          <w:lang w:val="es-ES" w:eastAsia="es-ES"/>
        </w:rPr>
        <w:t>capacidad de adapta</w:t>
      </w:r>
      <w:r w:rsidR="00695269" w:rsidRPr="00FE5001">
        <w:rPr>
          <w:rFonts w:ascii="Times New Roman" w:eastAsia="Times New Roman" w:hAnsi="Times New Roman" w:cs="Times New Roman"/>
          <w:i/>
          <w:lang w:val="es-ES" w:eastAsia="es-ES"/>
        </w:rPr>
        <w:t>ción</w:t>
      </w:r>
      <w:r w:rsidRPr="00FE5001">
        <w:rPr>
          <w:rFonts w:ascii="Times New Roman" w:eastAsia="Times New Roman" w:hAnsi="Times New Roman" w:cs="Times New Roman"/>
          <w:i/>
          <w:lang w:val="es-ES" w:eastAsia="es-ES"/>
        </w:rPr>
        <w:t xml:space="preserve"> y flexibili</w:t>
      </w:r>
      <w:r w:rsidR="00695269" w:rsidRPr="00FE5001">
        <w:rPr>
          <w:rFonts w:ascii="Times New Roman" w:eastAsia="Times New Roman" w:hAnsi="Times New Roman" w:cs="Times New Roman"/>
          <w:i/>
          <w:lang w:val="es-ES" w:eastAsia="es-ES"/>
        </w:rPr>
        <w:t>dad para afrontar</w:t>
      </w:r>
      <w:r w:rsidRPr="00FE5001">
        <w:rPr>
          <w:rFonts w:ascii="Times New Roman" w:eastAsia="Times New Roman" w:hAnsi="Times New Roman" w:cs="Times New Roman"/>
          <w:i/>
          <w:lang w:val="es-ES" w:eastAsia="es-ES"/>
        </w:rPr>
        <w:t xml:space="preserve"> </w:t>
      </w:r>
      <w:r w:rsidR="00695269" w:rsidRPr="00FE5001">
        <w:rPr>
          <w:rFonts w:ascii="Times New Roman" w:eastAsia="Times New Roman" w:hAnsi="Times New Roman" w:cs="Times New Roman"/>
          <w:i/>
          <w:lang w:val="es-ES" w:eastAsia="es-ES"/>
        </w:rPr>
        <w:t xml:space="preserve">los </w:t>
      </w:r>
      <w:r w:rsidRPr="00FE5001">
        <w:rPr>
          <w:rFonts w:ascii="Times New Roman" w:eastAsia="Times New Roman" w:hAnsi="Times New Roman" w:cs="Times New Roman"/>
          <w:i/>
          <w:lang w:val="es-ES" w:eastAsia="es-ES"/>
        </w:rPr>
        <w:t xml:space="preserve">nuevos cambios </w:t>
      </w:r>
      <w:r w:rsidR="00695269" w:rsidRPr="00FE5001">
        <w:rPr>
          <w:rFonts w:ascii="Times New Roman" w:eastAsia="Times New Roman" w:hAnsi="Times New Roman" w:cs="Times New Roman"/>
          <w:i/>
          <w:lang w:val="es-ES" w:eastAsia="es-ES"/>
        </w:rPr>
        <w:t xml:space="preserve">que </w:t>
      </w:r>
      <w:r w:rsidR="002F6CDA" w:rsidRPr="00FE5001">
        <w:rPr>
          <w:rFonts w:ascii="Times New Roman" w:eastAsia="Times New Roman" w:hAnsi="Times New Roman" w:cs="Times New Roman"/>
          <w:i/>
          <w:lang w:val="es-ES" w:eastAsia="es-ES"/>
        </w:rPr>
        <w:t xml:space="preserve">se </w:t>
      </w:r>
      <w:r w:rsidR="00695269" w:rsidRPr="00FE5001">
        <w:rPr>
          <w:rFonts w:ascii="Times New Roman" w:eastAsia="Times New Roman" w:hAnsi="Times New Roman" w:cs="Times New Roman"/>
          <w:i/>
          <w:lang w:val="es-ES" w:eastAsia="es-ES"/>
        </w:rPr>
        <w:t>han producid</w:t>
      </w:r>
      <w:r w:rsidR="002F6CDA" w:rsidRPr="00FE5001">
        <w:rPr>
          <w:rFonts w:ascii="Times New Roman" w:eastAsia="Times New Roman" w:hAnsi="Times New Roman" w:cs="Times New Roman"/>
          <w:i/>
          <w:lang w:val="es-ES" w:eastAsia="es-ES"/>
        </w:rPr>
        <w:t>o</w:t>
      </w:r>
      <w:r w:rsidR="00695269" w:rsidRPr="00FE5001">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 xml:space="preserve">de forma tan repentina </w:t>
      </w:r>
      <w:r w:rsidR="00695269" w:rsidRPr="00FE5001">
        <w:rPr>
          <w:rFonts w:ascii="Times New Roman" w:eastAsia="Times New Roman" w:hAnsi="Times New Roman" w:cs="Times New Roman"/>
          <w:i/>
          <w:lang w:val="es-ES" w:eastAsia="es-ES"/>
        </w:rPr>
        <w:t xml:space="preserve">a consecuencia de </w:t>
      </w:r>
      <w:r w:rsidRPr="00FE5001">
        <w:rPr>
          <w:rFonts w:ascii="Times New Roman" w:eastAsia="Times New Roman" w:hAnsi="Times New Roman" w:cs="Times New Roman"/>
          <w:i/>
          <w:lang w:val="es-ES" w:eastAsia="es-ES"/>
        </w:rPr>
        <w:t xml:space="preserve">las medidas que se </w:t>
      </w:r>
      <w:r w:rsidR="00695269" w:rsidRPr="00FE5001">
        <w:rPr>
          <w:rFonts w:ascii="Times New Roman" w:eastAsia="Times New Roman" w:hAnsi="Times New Roman" w:cs="Times New Roman"/>
          <w:i/>
          <w:lang w:val="es-ES" w:eastAsia="es-ES"/>
        </w:rPr>
        <w:t xml:space="preserve">fueron </w:t>
      </w:r>
      <w:r w:rsidRPr="00FE5001">
        <w:rPr>
          <w:rFonts w:ascii="Times New Roman" w:eastAsia="Times New Roman" w:hAnsi="Times New Roman" w:cs="Times New Roman"/>
          <w:i/>
          <w:lang w:val="es-ES" w:eastAsia="es-ES"/>
        </w:rPr>
        <w:t>decretando</w:t>
      </w:r>
      <w:r w:rsidR="002F6CDA"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w:t>
      </w:r>
      <w:r w:rsidR="00A307FB" w:rsidRPr="00FE5001">
        <w:rPr>
          <w:rFonts w:ascii="Times New Roman" w:eastAsia="Times New Roman" w:hAnsi="Times New Roman" w:cs="Times New Roman"/>
          <w:i/>
          <w:lang w:val="es-ES" w:eastAsia="es-ES"/>
        </w:rPr>
        <w:t xml:space="preserve">y </w:t>
      </w:r>
      <w:r w:rsidRPr="00FE5001">
        <w:rPr>
          <w:rFonts w:ascii="Times New Roman" w:eastAsia="Times New Roman" w:hAnsi="Times New Roman" w:cs="Times New Roman"/>
          <w:i/>
          <w:lang w:val="es-ES" w:eastAsia="es-ES"/>
        </w:rPr>
        <w:t>la mayor predisposición para</w:t>
      </w:r>
      <w:r w:rsidR="00A307FB" w:rsidRPr="00FE5001">
        <w:rPr>
          <w:rFonts w:ascii="Times New Roman" w:eastAsia="Times New Roman" w:hAnsi="Times New Roman" w:cs="Times New Roman"/>
          <w:i/>
          <w:lang w:val="es-ES" w:eastAsia="es-ES"/>
        </w:rPr>
        <w:t xml:space="preserve"> afrontar</w:t>
      </w:r>
      <w:r w:rsidRPr="00FE5001">
        <w:rPr>
          <w:rFonts w:ascii="Times New Roman" w:eastAsia="Times New Roman" w:hAnsi="Times New Roman" w:cs="Times New Roman"/>
          <w:i/>
          <w:lang w:val="es-ES" w:eastAsia="es-ES"/>
        </w:rPr>
        <w:t xml:space="preserve"> </w:t>
      </w:r>
      <w:r w:rsidR="00695269" w:rsidRPr="00FE5001">
        <w:rPr>
          <w:rFonts w:ascii="Times New Roman" w:eastAsia="Times New Roman" w:hAnsi="Times New Roman" w:cs="Times New Roman"/>
          <w:i/>
          <w:lang w:val="es-ES" w:eastAsia="es-ES"/>
        </w:rPr>
        <w:t xml:space="preserve">los </w:t>
      </w:r>
      <w:r w:rsidRPr="00FE5001">
        <w:rPr>
          <w:rFonts w:ascii="Times New Roman" w:eastAsia="Times New Roman" w:hAnsi="Times New Roman" w:cs="Times New Roman"/>
          <w:i/>
          <w:lang w:val="es-ES" w:eastAsia="es-ES"/>
        </w:rPr>
        <w:t>nuevos desafíos que se vienen.</w:t>
      </w:r>
    </w:p>
    <w:p w14:paraId="3764E4F8" w14:textId="73D4A1EA" w:rsidR="00714575" w:rsidRPr="00FE5001" w:rsidRDefault="00714575" w:rsidP="008E7002">
      <w:pPr>
        <w:spacing w:after="0" w:line="240" w:lineRule="auto"/>
        <w:ind w:left="348"/>
        <w:jc w:val="both"/>
        <w:rPr>
          <w:rFonts w:ascii="Times New Roman" w:eastAsia="Times New Roman" w:hAnsi="Times New Roman" w:cs="Times New Roman"/>
          <w:i/>
          <w:lang w:val="es-ES" w:eastAsia="es-ES"/>
        </w:rPr>
      </w:pPr>
    </w:p>
    <w:p w14:paraId="029DBF88" w14:textId="77777777" w:rsidR="00D61EF9" w:rsidRPr="00FE5001" w:rsidRDefault="00D61EF9" w:rsidP="00FE5001">
      <w:pPr>
        <w:spacing w:after="0" w:line="240" w:lineRule="auto"/>
        <w:jc w:val="both"/>
        <w:rPr>
          <w:rFonts w:ascii="Times New Roman" w:hAnsi="Times New Roman" w:cs="Times New Roman"/>
          <w:b/>
          <w:bCs/>
          <w:i/>
          <w:iCs/>
        </w:rPr>
      </w:pPr>
      <w:r w:rsidRPr="00FE5001">
        <w:rPr>
          <w:rFonts w:ascii="Times New Roman" w:hAnsi="Times New Roman" w:cs="Times New Roman"/>
          <w:b/>
          <w:bCs/>
          <w:i/>
          <w:iCs/>
        </w:rPr>
        <w:t>Fusión de la Sociedad con Torre Puerto Santa Fe S.A.</w:t>
      </w:r>
    </w:p>
    <w:p w14:paraId="3F18BD49" w14:textId="77777777" w:rsidR="00464591" w:rsidRPr="00FE5001" w:rsidRDefault="00464591" w:rsidP="008E7002">
      <w:pPr>
        <w:spacing w:after="0" w:line="240" w:lineRule="auto"/>
        <w:jc w:val="both"/>
        <w:rPr>
          <w:rFonts w:ascii="Times New Roman" w:hAnsi="Times New Roman" w:cs="Times New Roman"/>
          <w:i/>
          <w:iCs/>
        </w:rPr>
      </w:pPr>
    </w:p>
    <w:p w14:paraId="61952B85" w14:textId="70D98BC3" w:rsidR="00A10B8F" w:rsidRPr="00FE5001" w:rsidRDefault="00A307FB"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Como resultado de </w:t>
      </w:r>
      <w:r w:rsidR="003F3A64" w:rsidRPr="00FE5001">
        <w:rPr>
          <w:rFonts w:ascii="Times New Roman" w:hAnsi="Times New Roman" w:cs="Times New Roman"/>
          <w:i/>
          <w:iCs/>
        </w:rPr>
        <w:t>la</w:t>
      </w:r>
      <w:r w:rsidRPr="00FE5001">
        <w:rPr>
          <w:rFonts w:ascii="Times New Roman" w:hAnsi="Times New Roman" w:cs="Times New Roman"/>
          <w:i/>
          <w:iCs/>
        </w:rPr>
        <w:t xml:space="preserve"> </w:t>
      </w:r>
      <w:r w:rsidR="00D61EF9" w:rsidRPr="00FE5001">
        <w:rPr>
          <w:rFonts w:ascii="Times New Roman" w:hAnsi="Times New Roman" w:cs="Times New Roman"/>
          <w:i/>
          <w:iCs/>
        </w:rPr>
        <w:t xml:space="preserve">reorganización societaria </w:t>
      </w:r>
      <w:bookmarkStart w:id="11" w:name="_Hlk92392096"/>
      <w:r w:rsidRPr="00FE5001">
        <w:rPr>
          <w:rFonts w:ascii="Times New Roman" w:hAnsi="Times New Roman" w:cs="Times New Roman"/>
          <w:i/>
          <w:iCs/>
        </w:rPr>
        <w:t>aprobada por asamblea del 26 de febrero de 2021</w:t>
      </w:r>
      <w:bookmarkEnd w:id="11"/>
      <w:r w:rsidR="00D61EF9" w:rsidRPr="00FE5001">
        <w:rPr>
          <w:rFonts w:ascii="Times New Roman" w:hAnsi="Times New Roman" w:cs="Times New Roman"/>
          <w:i/>
          <w:iCs/>
        </w:rPr>
        <w:t xml:space="preserve">, en la cual </w:t>
      </w:r>
      <w:r w:rsidRPr="00FE5001">
        <w:rPr>
          <w:rFonts w:ascii="Times New Roman" w:hAnsi="Times New Roman" w:cs="Times New Roman"/>
          <w:i/>
          <w:iCs/>
        </w:rPr>
        <w:t>los a</w:t>
      </w:r>
      <w:r w:rsidR="00D61EF9" w:rsidRPr="00FE5001">
        <w:rPr>
          <w:rFonts w:ascii="Times New Roman" w:hAnsi="Times New Roman" w:cs="Times New Roman"/>
          <w:i/>
          <w:iCs/>
        </w:rPr>
        <w:t xml:space="preserve">ccionistas </w:t>
      </w:r>
      <w:r w:rsidRPr="00FE5001">
        <w:rPr>
          <w:rFonts w:ascii="Times New Roman" w:hAnsi="Times New Roman" w:cs="Times New Roman"/>
          <w:i/>
          <w:iCs/>
        </w:rPr>
        <w:t xml:space="preserve">de la Sociedad aprobaron </w:t>
      </w:r>
      <w:r w:rsidR="00D61EF9" w:rsidRPr="00FE5001">
        <w:rPr>
          <w:rFonts w:ascii="Times New Roman" w:hAnsi="Times New Roman" w:cs="Times New Roman"/>
          <w:i/>
          <w:iCs/>
        </w:rPr>
        <w:t>la fusión por absorción de la Sociedad (sociedad absorbente) con Torre Puerto Santa Fe S.A. (sociedad absorbida)</w:t>
      </w:r>
      <w:r w:rsidRPr="00FE5001">
        <w:rPr>
          <w:rFonts w:ascii="Times New Roman" w:hAnsi="Times New Roman" w:cs="Times New Roman"/>
          <w:i/>
          <w:iCs/>
        </w:rPr>
        <w:t xml:space="preserve"> </w:t>
      </w:r>
      <w:bookmarkStart w:id="12" w:name="_Hlk92392156"/>
      <w:r w:rsidRPr="00FE5001">
        <w:rPr>
          <w:rFonts w:ascii="Times New Roman" w:hAnsi="Times New Roman" w:cs="Times New Roman"/>
          <w:i/>
          <w:iCs/>
        </w:rPr>
        <w:t>y</w:t>
      </w:r>
      <w:r w:rsidR="00D61EF9" w:rsidRPr="00FE5001">
        <w:rPr>
          <w:rFonts w:ascii="Times New Roman" w:hAnsi="Times New Roman" w:cs="Times New Roman"/>
          <w:i/>
          <w:iCs/>
        </w:rPr>
        <w:t xml:space="preserve"> </w:t>
      </w:r>
      <w:r w:rsidRPr="00FE5001">
        <w:rPr>
          <w:rFonts w:ascii="Times New Roman" w:hAnsi="Times New Roman" w:cs="Times New Roman"/>
          <w:i/>
          <w:iCs/>
        </w:rPr>
        <w:t>a partir d</w:t>
      </w:r>
      <w:bookmarkEnd w:id="12"/>
      <w:r w:rsidR="00D61EF9" w:rsidRPr="00FE5001">
        <w:rPr>
          <w:rFonts w:ascii="Times New Roman" w:hAnsi="Times New Roman" w:cs="Times New Roman"/>
          <w:i/>
          <w:iCs/>
        </w:rPr>
        <w:t>el 1 de mayo de 2021</w:t>
      </w:r>
      <w:r w:rsidRPr="00FE5001">
        <w:rPr>
          <w:rFonts w:ascii="Times New Roman" w:hAnsi="Times New Roman" w:cs="Times New Roman"/>
          <w:i/>
          <w:iCs/>
        </w:rPr>
        <w:t xml:space="preserve"> -fecha efectiva de fusión- </w:t>
      </w:r>
      <w:bookmarkStart w:id="13" w:name="_Hlk92392195"/>
      <w:r w:rsidR="00D61EF9" w:rsidRPr="00FE5001">
        <w:rPr>
          <w:rFonts w:ascii="Times New Roman" w:hAnsi="Times New Roman" w:cs="Times New Roman"/>
          <w:i/>
          <w:iCs/>
        </w:rPr>
        <w:t>la operación de</w:t>
      </w:r>
      <w:r w:rsidRPr="00FE5001">
        <w:rPr>
          <w:rFonts w:ascii="Times New Roman" w:hAnsi="Times New Roman" w:cs="Times New Roman"/>
          <w:i/>
          <w:iCs/>
        </w:rPr>
        <w:t xml:space="preserve"> </w:t>
      </w:r>
      <w:r w:rsidR="00D61EF9" w:rsidRPr="00FE5001">
        <w:rPr>
          <w:rFonts w:ascii="Times New Roman" w:hAnsi="Times New Roman" w:cs="Times New Roman"/>
          <w:i/>
          <w:iCs/>
        </w:rPr>
        <w:t>l</w:t>
      </w:r>
      <w:r w:rsidRPr="00FE5001">
        <w:rPr>
          <w:rFonts w:ascii="Times New Roman" w:hAnsi="Times New Roman" w:cs="Times New Roman"/>
          <w:i/>
          <w:iCs/>
        </w:rPr>
        <w:t>os</w:t>
      </w:r>
      <w:r w:rsidR="00D61EF9" w:rsidRPr="00FE5001">
        <w:rPr>
          <w:rFonts w:ascii="Times New Roman" w:hAnsi="Times New Roman" w:cs="Times New Roman"/>
          <w:i/>
          <w:iCs/>
        </w:rPr>
        <w:t xml:space="preserve"> negocio</w:t>
      </w:r>
      <w:r w:rsidRPr="00FE5001">
        <w:rPr>
          <w:rFonts w:ascii="Times New Roman" w:hAnsi="Times New Roman" w:cs="Times New Roman"/>
          <w:i/>
          <w:iCs/>
        </w:rPr>
        <w:t>s</w:t>
      </w:r>
      <w:r w:rsidR="00D61EF9" w:rsidRPr="00FE5001">
        <w:rPr>
          <w:rFonts w:ascii="Times New Roman" w:hAnsi="Times New Roman" w:cs="Times New Roman"/>
          <w:i/>
          <w:iCs/>
        </w:rPr>
        <w:t xml:space="preserve"> inmobiliario</w:t>
      </w:r>
      <w:r w:rsidRPr="00FE5001">
        <w:rPr>
          <w:rFonts w:ascii="Times New Roman" w:hAnsi="Times New Roman" w:cs="Times New Roman"/>
          <w:i/>
          <w:iCs/>
        </w:rPr>
        <w:t>s</w:t>
      </w:r>
      <w:r w:rsidR="00D61EF9" w:rsidRPr="00FE5001">
        <w:rPr>
          <w:rFonts w:ascii="Times New Roman" w:hAnsi="Times New Roman" w:cs="Times New Roman"/>
          <w:i/>
          <w:iCs/>
        </w:rPr>
        <w:t xml:space="preserve"> </w:t>
      </w:r>
      <w:r w:rsidRPr="00FE5001">
        <w:rPr>
          <w:rFonts w:ascii="Times New Roman" w:hAnsi="Times New Roman" w:cs="Times New Roman"/>
          <w:i/>
          <w:iCs/>
        </w:rPr>
        <w:t xml:space="preserve">de Torre Puerto se encuentran </w:t>
      </w:r>
      <w:r w:rsidR="00D61EF9" w:rsidRPr="00FE5001">
        <w:rPr>
          <w:rFonts w:ascii="Times New Roman" w:hAnsi="Times New Roman" w:cs="Times New Roman"/>
          <w:i/>
          <w:iCs/>
        </w:rPr>
        <w:t>funcionando íntegramente bajo la órbita de Boldt S</w:t>
      </w:r>
      <w:r w:rsidR="00FD2225" w:rsidRPr="00FE5001">
        <w:rPr>
          <w:rFonts w:ascii="Times New Roman" w:hAnsi="Times New Roman" w:cs="Times New Roman"/>
          <w:i/>
          <w:iCs/>
        </w:rPr>
        <w:t>.</w:t>
      </w:r>
      <w:r w:rsidR="00D61EF9" w:rsidRPr="00FE5001">
        <w:rPr>
          <w:rFonts w:ascii="Times New Roman" w:hAnsi="Times New Roman" w:cs="Times New Roman"/>
          <w:i/>
          <w:iCs/>
        </w:rPr>
        <w:t>A</w:t>
      </w:r>
      <w:bookmarkEnd w:id="13"/>
      <w:r w:rsidRPr="00FE5001">
        <w:rPr>
          <w:rFonts w:ascii="Times New Roman" w:hAnsi="Times New Roman" w:cs="Times New Roman"/>
          <w:i/>
          <w:iCs/>
        </w:rPr>
        <w:t xml:space="preserve">. La </w:t>
      </w:r>
      <w:r w:rsidR="00D61EF9" w:rsidRPr="00FE5001">
        <w:rPr>
          <w:rFonts w:ascii="Times New Roman" w:hAnsi="Times New Roman" w:cs="Times New Roman"/>
          <w:i/>
          <w:iCs/>
        </w:rPr>
        <w:t xml:space="preserve">actividad principal </w:t>
      </w:r>
      <w:r w:rsidRPr="00FE5001">
        <w:rPr>
          <w:rFonts w:ascii="Times New Roman" w:hAnsi="Times New Roman" w:cs="Times New Roman"/>
          <w:i/>
          <w:iCs/>
        </w:rPr>
        <w:t xml:space="preserve">de esta unidad de negocios </w:t>
      </w:r>
      <w:r w:rsidR="00D61EF9" w:rsidRPr="00FE5001">
        <w:rPr>
          <w:rFonts w:ascii="Times New Roman" w:hAnsi="Times New Roman" w:cs="Times New Roman"/>
          <w:i/>
          <w:iCs/>
        </w:rPr>
        <w:t xml:space="preserve">es la construcción y administración de obras de arquitectura, ingeniería y otras actividades afines y alquiler de oficinas y locales comerciales. Los emprendimientos inmobiliarios se desarrollan en un predio ubicado a orillas del Río Paraná, cercano al centro de la ciudad de Santa Fe, concesionado por el Ente </w:t>
      </w:r>
      <w:r w:rsidRPr="00FE5001">
        <w:rPr>
          <w:rFonts w:ascii="Times New Roman" w:hAnsi="Times New Roman" w:cs="Times New Roman"/>
          <w:i/>
          <w:iCs/>
        </w:rPr>
        <w:t xml:space="preserve">Administrador </w:t>
      </w:r>
      <w:r w:rsidR="00D61EF9" w:rsidRPr="00FE5001">
        <w:rPr>
          <w:rFonts w:ascii="Times New Roman" w:hAnsi="Times New Roman" w:cs="Times New Roman"/>
          <w:i/>
          <w:iCs/>
        </w:rPr>
        <w:t xml:space="preserve">Puerto Santa Fe por un período de 30 años con opción a extender el plazo 10 años más. </w:t>
      </w:r>
      <w:r w:rsidR="00A10B8F" w:rsidRPr="00FE5001">
        <w:rPr>
          <w:rFonts w:ascii="Times New Roman" w:hAnsi="Times New Roman" w:cs="Times New Roman"/>
          <w:i/>
          <w:iCs/>
        </w:rPr>
        <w:t xml:space="preserve">En dicho predio se </w:t>
      </w:r>
      <w:r w:rsidR="00D61EF9" w:rsidRPr="00FE5001">
        <w:rPr>
          <w:rFonts w:ascii="Times New Roman" w:hAnsi="Times New Roman" w:cs="Times New Roman"/>
          <w:i/>
          <w:iCs/>
        </w:rPr>
        <w:t>ha</w:t>
      </w:r>
      <w:r w:rsidR="00A10B8F" w:rsidRPr="00FE5001">
        <w:rPr>
          <w:rFonts w:ascii="Times New Roman" w:hAnsi="Times New Roman" w:cs="Times New Roman"/>
          <w:i/>
          <w:iCs/>
        </w:rPr>
        <w:t>n</w:t>
      </w:r>
      <w:r w:rsidR="00D61EF9" w:rsidRPr="00FE5001">
        <w:rPr>
          <w:rFonts w:ascii="Times New Roman" w:hAnsi="Times New Roman" w:cs="Times New Roman"/>
          <w:i/>
          <w:iCs/>
        </w:rPr>
        <w:t xml:space="preserve"> construido dos torres corporativas de 16 pisos con un total de 5.600 metros cuadrados cada una, previéndose la posibilidad de construir una tercera torre. Además, se han concluido casi en su totalidad las obras del paseo de compras denominado Puerto Plaza, que contemplaba la construcción de un complejo de locales comerciales, gastronómicos y demás espacios de ocio y entretenimiento. </w:t>
      </w:r>
    </w:p>
    <w:p w14:paraId="456BA927" w14:textId="77777777" w:rsidR="00464591" w:rsidRPr="00FE5001" w:rsidRDefault="00464591" w:rsidP="008E7002">
      <w:pPr>
        <w:spacing w:after="0" w:line="240" w:lineRule="auto"/>
        <w:jc w:val="both"/>
        <w:rPr>
          <w:rFonts w:ascii="Times New Roman" w:hAnsi="Times New Roman" w:cs="Times New Roman"/>
          <w:i/>
          <w:iCs/>
        </w:rPr>
      </w:pPr>
    </w:p>
    <w:p w14:paraId="78C97D59" w14:textId="56ACFCD0" w:rsidR="00D61EF9" w:rsidRPr="00FE5001" w:rsidRDefault="00D61EF9" w:rsidP="00FE5001">
      <w:pPr>
        <w:spacing w:after="0" w:line="240" w:lineRule="auto"/>
        <w:jc w:val="both"/>
        <w:rPr>
          <w:rFonts w:ascii="Times New Roman" w:hAnsi="Times New Roman" w:cs="Times New Roman"/>
          <w:i/>
          <w:iCs/>
        </w:rPr>
      </w:pPr>
      <w:r w:rsidRPr="00FE5001">
        <w:rPr>
          <w:rFonts w:ascii="Times New Roman" w:hAnsi="Times New Roman" w:cs="Times New Roman"/>
          <w:i/>
          <w:iCs/>
        </w:rPr>
        <w:t>Es importante destacar que esta reorganización representa un hito más en el desarrollo de la Sociedad y complementa su sólida experiencia en el mercado inmobiliario, en el cual ha emprendido variados proyectos a lo largo de su historia, siendo el más reciente de ellos el denominado Plaza Imprenta, en el barrio de Barracas.</w:t>
      </w:r>
    </w:p>
    <w:p w14:paraId="565DB778" w14:textId="77777777" w:rsidR="00464591" w:rsidRPr="00FE5001" w:rsidRDefault="00464591" w:rsidP="008E7002">
      <w:pPr>
        <w:spacing w:after="0" w:line="240" w:lineRule="auto"/>
        <w:jc w:val="both"/>
        <w:rPr>
          <w:rFonts w:ascii="Times New Roman" w:hAnsi="Times New Roman" w:cs="Times New Roman"/>
          <w:i/>
          <w:iCs/>
        </w:rPr>
      </w:pPr>
    </w:p>
    <w:p w14:paraId="6D85EF45" w14:textId="3195AEC0" w:rsidR="00B117F5" w:rsidRPr="00FE5001" w:rsidRDefault="00D61EF9"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Luego de la fusión de Boldt con Torre Puerto Santa Fe S.A. (sociedad absorbida), desde el 1° de mayo de 2021, fecha efectiva de fusión en que se considera efectiva la transferencia de activos, pasivos, patrimonio neto, derechos y obligaciones de Torre Puerto Santa Fe S.A, la Sociedad se encuentra operando los negocios de dicha sociedad. </w:t>
      </w:r>
    </w:p>
    <w:p w14:paraId="3BFC59B9" w14:textId="77777777" w:rsidR="008E7002" w:rsidRDefault="008E7002" w:rsidP="008E7002">
      <w:pPr>
        <w:spacing w:after="0" w:line="240" w:lineRule="auto"/>
        <w:jc w:val="both"/>
        <w:rPr>
          <w:rFonts w:ascii="Times New Roman" w:hAnsi="Times New Roman" w:cs="Times New Roman"/>
          <w:i/>
          <w:iCs/>
        </w:rPr>
      </w:pPr>
      <w:bookmarkStart w:id="14" w:name="_Hlk92392414"/>
      <w:bookmarkStart w:id="15" w:name="_Hlk92395891"/>
    </w:p>
    <w:p w14:paraId="64DAC155" w14:textId="2E9D3EFC" w:rsidR="00D61EF9" w:rsidRPr="00FE5001" w:rsidRDefault="00B510E4"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Durante el mes de </w:t>
      </w:r>
      <w:r w:rsidR="00A10B8F" w:rsidRPr="00FE5001">
        <w:rPr>
          <w:rFonts w:ascii="Times New Roman" w:hAnsi="Times New Roman" w:cs="Times New Roman"/>
          <w:i/>
          <w:iCs/>
        </w:rPr>
        <w:t>septiembre</w:t>
      </w:r>
      <w:r w:rsidR="00B117F5" w:rsidRPr="00FE5001">
        <w:rPr>
          <w:rFonts w:ascii="Times New Roman" w:hAnsi="Times New Roman" w:cs="Times New Roman"/>
          <w:i/>
          <w:iCs/>
        </w:rPr>
        <w:t xml:space="preserve"> de 2021</w:t>
      </w:r>
      <w:r w:rsidR="00A10B8F" w:rsidRPr="00FE5001">
        <w:rPr>
          <w:rFonts w:ascii="Times New Roman" w:hAnsi="Times New Roman" w:cs="Times New Roman"/>
          <w:i/>
          <w:iCs/>
        </w:rPr>
        <w:t>, la Comisión Nacional de Valores (“</w:t>
      </w:r>
      <w:r w:rsidR="00D61EF9" w:rsidRPr="00FE5001">
        <w:rPr>
          <w:rFonts w:ascii="Times New Roman" w:hAnsi="Times New Roman" w:cs="Times New Roman"/>
          <w:i/>
          <w:iCs/>
        </w:rPr>
        <w:t>CNV</w:t>
      </w:r>
      <w:r w:rsidR="00A10B8F" w:rsidRPr="00FE5001">
        <w:rPr>
          <w:rFonts w:ascii="Times New Roman" w:hAnsi="Times New Roman" w:cs="Times New Roman"/>
          <w:i/>
          <w:iCs/>
        </w:rPr>
        <w:t xml:space="preserve">”) conformó la fusión y </w:t>
      </w:r>
      <w:r w:rsidR="00BF523B" w:rsidRPr="00FE5001">
        <w:rPr>
          <w:rFonts w:ascii="Times New Roman" w:hAnsi="Times New Roman" w:cs="Times New Roman"/>
          <w:i/>
          <w:iCs/>
        </w:rPr>
        <w:t xml:space="preserve">condicionó </w:t>
      </w:r>
      <w:r w:rsidR="00A10B8F" w:rsidRPr="00FE5001">
        <w:rPr>
          <w:rFonts w:ascii="Times New Roman" w:hAnsi="Times New Roman" w:cs="Times New Roman"/>
          <w:i/>
          <w:iCs/>
        </w:rPr>
        <w:t>la emisión de las nuevas acciones producto del aumento de capital a ser entregadas en canje a la efectiva inscripción</w:t>
      </w:r>
      <w:r w:rsidR="00BF523B" w:rsidRPr="00FE5001">
        <w:rPr>
          <w:rFonts w:ascii="Times New Roman" w:hAnsi="Times New Roman" w:cs="Times New Roman"/>
          <w:i/>
          <w:iCs/>
        </w:rPr>
        <w:t xml:space="preserve"> de la </w:t>
      </w:r>
      <w:r w:rsidRPr="00FE5001">
        <w:rPr>
          <w:rFonts w:ascii="Times New Roman" w:hAnsi="Times New Roman" w:cs="Times New Roman"/>
          <w:i/>
          <w:iCs/>
        </w:rPr>
        <w:t>fusión</w:t>
      </w:r>
      <w:r w:rsidR="00BF523B" w:rsidRPr="00FE5001">
        <w:rPr>
          <w:rFonts w:ascii="Times New Roman" w:hAnsi="Times New Roman" w:cs="Times New Roman"/>
          <w:i/>
          <w:iCs/>
        </w:rPr>
        <w:t xml:space="preserve"> ante el Registro Público que funciona en la órbita de la Inspección General de Justicia (</w:t>
      </w:r>
      <w:r w:rsidR="00B901C8" w:rsidRPr="00FE5001">
        <w:rPr>
          <w:rFonts w:ascii="Times New Roman" w:hAnsi="Times New Roman" w:cs="Times New Roman"/>
          <w:i/>
          <w:iCs/>
        </w:rPr>
        <w:t>“</w:t>
      </w:r>
      <w:r w:rsidR="00BF523B" w:rsidRPr="00FE5001">
        <w:rPr>
          <w:rFonts w:ascii="Times New Roman" w:hAnsi="Times New Roman" w:cs="Times New Roman"/>
          <w:i/>
          <w:iCs/>
        </w:rPr>
        <w:t>IGJ</w:t>
      </w:r>
      <w:r w:rsidR="00B901C8" w:rsidRPr="00FE5001">
        <w:rPr>
          <w:rFonts w:ascii="Times New Roman" w:hAnsi="Times New Roman" w:cs="Times New Roman"/>
          <w:i/>
          <w:iCs/>
        </w:rPr>
        <w:t>”</w:t>
      </w:r>
      <w:r w:rsidR="00BF523B" w:rsidRPr="00FE5001">
        <w:rPr>
          <w:rFonts w:ascii="Times New Roman" w:hAnsi="Times New Roman" w:cs="Times New Roman"/>
          <w:i/>
          <w:iCs/>
        </w:rPr>
        <w:t>)</w:t>
      </w:r>
      <w:r w:rsidR="00A10B8F" w:rsidRPr="00FE5001">
        <w:rPr>
          <w:rFonts w:ascii="Times New Roman" w:hAnsi="Times New Roman" w:cs="Times New Roman"/>
          <w:i/>
          <w:iCs/>
        </w:rPr>
        <w:t xml:space="preserve">. </w:t>
      </w:r>
      <w:r w:rsidR="00BF523B" w:rsidRPr="00FE5001">
        <w:rPr>
          <w:rFonts w:ascii="Times New Roman" w:hAnsi="Times New Roman" w:cs="Times New Roman"/>
          <w:i/>
          <w:iCs/>
        </w:rPr>
        <w:t xml:space="preserve">El </w:t>
      </w:r>
      <w:r w:rsidR="00A10B8F" w:rsidRPr="00FE5001">
        <w:rPr>
          <w:rFonts w:ascii="Times New Roman" w:hAnsi="Times New Roman" w:cs="Times New Roman"/>
          <w:i/>
          <w:iCs/>
        </w:rPr>
        <w:t>15 de diciembre de 2021, la IGJ aprobó la inscripción de la fusión y la disolución de Torre Puerto Santa Fe S.A. A la fecha de la presente</w:t>
      </w:r>
      <w:r w:rsidR="00D61EF9" w:rsidRPr="00FE5001">
        <w:rPr>
          <w:rFonts w:ascii="Times New Roman" w:hAnsi="Times New Roman" w:cs="Times New Roman"/>
          <w:i/>
          <w:iCs/>
        </w:rPr>
        <w:t xml:space="preserve">, la Sociedad </w:t>
      </w:r>
      <w:r w:rsidR="00A10B8F" w:rsidRPr="00FE5001">
        <w:rPr>
          <w:rFonts w:ascii="Times New Roman" w:hAnsi="Times New Roman" w:cs="Times New Roman"/>
          <w:i/>
          <w:iCs/>
        </w:rPr>
        <w:t xml:space="preserve">ha resuelto la emisión </w:t>
      </w:r>
      <w:r w:rsidR="00D61EF9" w:rsidRPr="00FE5001">
        <w:rPr>
          <w:rFonts w:ascii="Times New Roman" w:hAnsi="Times New Roman" w:cs="Times New Roman"/>
          <w:i/>
          <w:iCs/>
        </w:rPr>
        <w:t>de las acciones derivadas del aumento de capital, las que serán entregadas</w:t>
      </w:r>
      <w:r w:rsidR="00A10B8F" w:rsidRPr="00FE5001">
        <w:rPr>
          <w:rFonts w:ascii="Times New Roman" w:hAnsi="Times New Roman" w:cs="Times New Roman"/>
          <w:i/>
          <w:iCs/>
        </w:rPr>
        <w:t xml:space="preserve"> en canje</w:t>
      </w:r>
      <w:r w:rsidR="00D61EF9" w:rsidRPr="00FE5001">
        <w:rPr>
          <w:rFonts w:ascii="Times New Roman" w:hAnsi="Times New Roman" w:cs="Times New Roman"/>
          <w:i/>
          <w:iCs/>
        </w:rPr>
        <w:t xml:space="preserve"> a los accionistas de Torre Puerto Santa Fe S.A.</w:t>
      </w:r>
      <w:bookmarkEnd w:id="14"/>
    </w:p>
    <w:bookmarkEnd w:id="15"/>
    <w:p w14:paraId="6966B102" w14:textId="77777777" w:rsidR="00BF523B" w:rsidRPr="00FE5001" w:rsidRDefault="00BF523B" w:rsidP="008E7002">
      <w:pPr>
        <w:spacing w:after="0" w:line="240" w:lineRule="auto"/>
        <w:jc w:val="both"/>
        <w:rPr>
          <w:rFonts w:ascii="Times New Roman" w:eastAsia="Times New Roman" w:hAnsi="Times New Roman" w:cs="Times New Roman"/>
          <w:b/>
          <w:i/>
          <w:lang w:val="es-ES" w:eastAsia="es-ES"/>
        </w:rPr>
      </w:pPr>
    </w:p>
    <w:p w14:paraId="22CF76BA" w14:textId="2BDD71E2" w:rsidR="00D61EF9" w:rsidRPr="00FE5001" w:rsidRDefault="00D61EF9"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Desde el aspecto institucional podemos destacar:</w:t>
      </w:r>
    </w:p>
    <w:p w14:paraId="0C0A8056" w14:textId="77777777" w:rsidR="00D61EF9" w:rsidRPr="00FE5001" w:rsidRDefault="00D61EF9" w:rsidP="008E7002">
      <w:pPr>
        <w:spacing w:after="0" w:line="240" w:lineRule="auto"/>
        <w:jc w:val="both"/>
        <w:rPr>
          <w:rFonts w:ascii="Times New Roman" w:eastAsia="Times New Roman" w:hAnsi="Times New Roman" w:cs="Times New Roman"/>
          <w:b/>
          <w:i/>
          <w:lang w:val="es-ES" w:eastAsia="es-ES"/>
        </w:rPr>
      </w:pPr>
    </w:p>
    <w:p w14:paraId="09EA10A7" w14:textId="2619CE61" w:rsidR="00D61EF9" w:rsidRPr="00FE5001" w:rsidRDefault="00D61EF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La Compañía continuó con el proceso de Planeamiento Estratégico iniciado el ejer</w:t>
      </w:r>
      <w:r w:rsidR="00BF523B" w:rsidRPr="00FE5001">
        <w:rPr>
          <w:rFonts w:ascii="Times New Roman" w:eastAsia="Times New Roman" w:hAnsi="Times New Roman" w:cs="Times New Roman"/>
          <w:i/>
          <w:lang w:val="es-ES" w:eastAsia="es-ES"/>
        </w:rPr>
        <w:t>ci</w:t>
      </w:r>
      <w:r w:rsidRPr="00FE5001">
        <w:rPr>
          <w:rFonts w:ascii="Times New Roman" w:eastAsia="Times New Roman" w:hAnsi="Times New Roman" w:cs="Times New Roman"/>
          <w:i/>
          <w:lang w:val="es-ES" w:eastAsia="es-ES"/>
        </w:rPr>
        <w:t xml:space="preserve">cio anterior que ha ido cubriendo cada unidad de negocios y de soporte para sustentar el crecimiento a largo plazo </w:t>
      </w:r>
      <w:r w:rsidR="00BF523B" w:rsidRPr="00FE5001">
        <w:rPr>
          <w:rFonts w:ascii="Times New Roman" w:eastAsia="Times New Roman" w:hAnsi="Times New Roman" w:cs="Times New Roman"/>
          <w:i/>
          <w:lang w:val="es-ES" w:eastAsia="es-ES"/>
        </w:rPr>
        <w:t xml:space="preserve">poniendo el </w:t>
      </w:r>
      <w:r w:rsidRPr="00FE5001">
        <w:rPr>
          <w:rFonts w:ascii="Times New Roman" w:eastAsia="Times New Roman" w:hAnsi="Times New Roman" w:cs="Times New Roman"/>
          <w:i/>
          <w:lang w:val="es-ES" w:eastAsia="es-ES"/>
        </w:rPr>
        <w:t xml:space="preserve">foco en </w:t>
      </w:r>
      <w:r w:rsidR="00BF523B" w:rsidRPr="00FE5001">
        <w:rPr>
          <w:rFonts w:ascii="Times New Roman" w:eastAsia="Times New Roman" w:hAnsi="Times New Roman" w:cs="Times New Roman"/>
          <w:i/>
          <w:lang w:val="es-ES" w:eastAsia="es-ES"/>
        </w:rPr>
        <w:t xml:space="preserve">priorizar </w:t>
      </w:r>
      <w:r w:rsidRPr="00FE5001">
        <w:rPr>
          <w:rFonts w:ascii="Times New Roman" w:eastAsia="Times New Roman" w:hAnsi="Times New Roman" w:cs="Times New Roman"/>
          <w:i/>
          <w:lang w:val="es-ES" w:eastAsia="es-ES"/>
        </w:rPr>
        <w:t>sus negocios actuales y futuros</w:t>
      </w:r>
      <w:r w:rsidR="00BF523B" w:rsidRPr="00FE5001">
        <w:rPr>
          <w:rFonts w:ascii="Times New Roman" w:eastAsia="Times New Roman" w:hAnsi="Times New Roman" w:cs="Times New Roman"/>
          <w:i/>
          <w:lang w:val="es-ES" w:eastAsia="es-ES"/>
        </w:rPr>
        <w:t xml:space="preserve">, así como </w:t>
      </w:r>
      <w:r w:rsidRPr="00FE5001">
        <w:rPr>
          <w:rFonts w:ascii="Times New Roman" w:eastAsia="Times New Roman" w:hAnsi="Times New Roman" w:cs="Times New Roman"/>
          <w:i/>
          <w:lang w:val="es-ES" w:eastAsia="es-ES"/>
        </w:rPr>
        <w:t xml:space="preserve">el manejo de sus operaciones en la nueva realidad orientada a lo digital. Este proceso no hace más que continuar con una etapa iniciada años atrás desde los Recursos Humanos a partir del cual se consolidó un equipo de trabajo altamente profesional que nos permitirá encarar este proceso de </w:t>
      </w:r>
      <w:r w:rsidR="009D2B85">
        <w:rPr>
          <w:rFonts w:ascii="Times New Roman" w:eastAsia="Times New Roman" w:hAnsi="Times New Roman" w:cs="Times New Roman"/>
          <w:i/>
          <w:lang w:val="es-ES" w:eastAsia="es-ES"/>
        </w:rPr>
        <w:t>una</w:t>
      </w:r>
      <w:r w:rsidR="009D2B85" w:rsidRPr="00FE5001">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manera más efectiva.</w:t>
      </w:r>
    </w:p>
    <w:p w14:paraId="738D8CFD" w14:textId="18DCC4F8" w:rsidR="00D61EF9" w:rsidRPr="00FE5001" w:rsidRDefault="00D61EF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 </w:t>
      </w:r>
    </w:p>
    <w:p w14:paraId="687D0CD9" w14:textId="52886D5A" w:rsidR="00B43E9F" w:rsidRPr="00FE5001" w:rsidRDefault="00B43E9F"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lastRenderedPageBreak/>
        <w:t xml:space="preserve">De igual modo </w:t>
      </w:r>
      <w:r w:rsidR="00DB5B3D" w:rsidRPr="00FE5001">
        <w:rPr>
          <w:rFonts w:ascii="Times New Roman" w:eastAsia="Times New Roman" w:hAnsi="Times New Roman" w:cs="Times New Roman"/>
          <w:i/>
          <w:lang w:val="es-ES" w:eastAsia="es-ES"/>
        </w:rPr>
        <w:t xml:space="preserve">de la mano de </w:t>
      </w:r>
      <w:r w:rsidRPr="00FE5001">
        <w:rPr>
          <w:rFonts w:ascii="Times New Roman" w:eastAsia="Times New Roman" w:hAnsi="Times New Roman" w:cs="Times New Roman"/>
          <w:i/>
          <w:lang w:val="es-ES" w:eastAsia="es-ES"/>
        </w:rPr>
        <w:t xml:space="preserve">un nuevo enfoque en las comunicaciones internas </w:t>
      </w:r>
      <w:r w:rsidR="00DB5B3D" w:rsidRPr="00FE5001">
        <w:rPr>
          <w:rFonts w:ascii="Times New Roman" w:eastAsia="Times New Roman" w:hAnsi="Times New Roman" w:cs="Times New Roman"/>
          <w:i/>
          <w:lang w:val="es-ES" w:eastAsia="es-ES"/>
        </w:rPr>
        <w:t xml:space="preserve">se ha </w:t>
      </w:r>
      <w:r w:rsidRPr="00FE5001">
        <w:rPr>
          <w:rFonts w:ascii="Times New Roman" w:eastAsia="Times New Roman" w:hAnsi="Times New Roman" w:cs="Times New Roman"/>
          <w:i/>
          <w:lang w:val="es-ES" w:eastAsia="es-ES"/>
        </w:rPr>
        <w:t>desarroll</w:t>
      </w:r>
      <w:r w:rsidR="00B24070">
        <w:rPr>
          <w:rFonts w:ascii="Times New Roman" w:eastAsia="Times New Roman" w:hAnsi="Times New Roman" w:cs="Times New Roman"/>
          <w:i/>
          <w:lang w:val="es-ES" w:eastAsia="es-ES"/>
        </w:rPr>
        <w:t>ad</w:t>
      </w:r>
      <w:r w:rsidRPr="00FE5001">
        <w:rPr>
          <w:rFonts w:ascii="Times New Roman" w:eastAsia="Times New Roman" w:hAnsi="Times New Roman" w:cs="Times New Roman"/>
          <w:i/>
          <w:lang w:val="es-ES" w:eastAsia="es-ES"/>
        </w:rPr>
        <w:t xml:space="preserve">o </w:t>
      </w:r>
      <w:r w:rsidR="00DB5B3D"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Impulso Boldt</w:t>
      </w:r>
      <w:r w:rsidR="00DB5B3D"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una iniciativa enfocada a que cada colaborador pueda proponer un proyecto y desarrollarlo en un ámbito de metodologías agiles con el objetivo que compitan y el más apto sea implementado por la Compañía</w:t>
      </w:r>
      <w:r w:rsidR="009D2B85">
        <w:rPr>
          <w:rFonts w:ascii="Times New Roman" w:eastAsia="Times New Roman" w:hAnsi="Times New Roman" w:cs="Times New Roman"/>
          <w:i/>
          <w:lang w:val="es-ES" w:eastAsia="es-ES"/>
        </w:rPr>
        <w:t xml:space="preserve">, </w:t>
      </w:r>
      <w:r w:rsidR="009D2B85" w:rsidRPr="00C35966">
        <w:rPr>
          <w:rFonts w:ascii="Times New Roman" w:eastAsia="Times New Roman" w:hAnsi="Times New Roman" w:cs="Times New Roman"/>
          <w:i/>
          <w:lang w:val="es-ES" w:eastAsia="es-ES"/>
        </w:rPr>
        <w:t>en la medida que el mismo agregue valor bajo algún aspecto de los propuestos, ya sea mejoras de calidad, de procesos, de relaciones humanas</w:t>
      </w:r>
      <w:r w:rsidRPr="00FE5001">
        <w:rPr>
          <w:rFonts w:ascii="Times New Roman" w:eastAsia="Times New Roman" w:hAnsi="Times New Roman" w:cs="Times New Roman"/>
          <w:i/>
          <w:lang w:val="es-ES" w:eastAsia="es-ES"/>
        </w:rPr>
        <w:t xml:space="preserve">. </w:t>
      </w:r>
    </w:p>
    <w:p w14:paraId="089A1366" w14:textId="77777777" w:rsidR="00B43E9F" w:rsidRPr="00FE5001" w:rsidRDefault="00B43E9F" w:rsidP="00FE5001">
      <w:pPr>
        <w:spacing w:after="0" w:line="240" w:lineRule="auto"/>
        <w:jc w:val="both"/>
        <w:rPr>
          <w:rFonts w:ascii="Times New Roman" w:eastAsia="Times New Roman" w:hAnsi="Times New Roman" w:cs="Times New Roman"/>
          <w:i/>
          <w:lang w:val="es-ES" w:eastAsia="es-ES"/>
        </w:rPr>
      </w:pPr>
    </w:p>
    <w:p w14:paraId="1866BA34" w14:textId="41D937BB" w:rsidR="00D61EF9" w:rsidRPr="00FE5001" w:rsidRDefault="00D61EF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Por otra parte</w:t>
      </w:r>
      <w:r w:rsidR="00DB5B3D"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y en mismo sentido</w:t>
      </w:r>
      <w:r w:rsidR="00DB5B3D" w:rsidRPr="00FE5001">
        <w:rPr>
          <w:rFonts w:ascii="Times New Roman" w:eastAsia="Times New Roman" w:hAnsi="Times New Roman" w:cs="Times New Roman"/>
          <w:i/>
          <w:lang w:val="es-ES" w:eastAsia="es-ES"/>
        </w:rPr>
        <w:t>,</w:t>
      </w:r>
      <w:r w:rsidRPr="00FE5001">
        <w:rPr>
          <w:rFonts w:ascii="Times New Roman" w:eastAsia="Times New Roman" w:hAnsi="Times New Roman" w:cs="Times New Roman"/>
          <w:i/>
          <w:lang w:val="es-ES" w:eastAsia="es-ES"/>
        </w:rPr>
        <w:t xml:space="preserve"> se han integrado a todas las etapas productivas del </w:t>
      </w:r>
      <w:r w:rsidR="00DB5B3D" w:rsidRPr="00FE5001">
        <w:rPr>
          <w:rFonts w:ascii="Times New Roman" w:eastAsia="Times New Roman" w:hAnsi="Times New Roman" w:cs="Times New Roman"/>
          <w:i/>
          <w:lang w:val="es-ES" w:eastAsia="es-ES"/>
        </w:rPr>
        <w:t>g</w:t>
      </w:r>
      <w:r w:rsidRPr="00FE5001">
        <w:rPr>
          <w:rFonts w:ascii="Times New Roman" w:eastAsia="Times New Roman" w:hAnsi="Times New Roman" w:cs="Times New Roman"/>
          <w:i/>
          <w:lang w:val="es-ES" w:eastAsia="es-ES"/>
        </w:rPr>
        <w:t xml:space="preserve">rupo el software de </w:t>
      </w:r>
      <w:proofErr w:type="spellStart"/>
      <w:r w:rsidRPr="00FE5001">
        <w:rPr>
          <w:rFonts w:ascii="Times New Roman" w:eastAsia="Times New Roman" w:hAnsi="Times New Roman" w:cs="Times New Roman"/>
          <w:i/>
          <w:lang w:val="es-ES" w:eastAsia="es-ES"/>
        </w:rPr>
        <w:t>management</w:t>
      </w:r>
      <w:proofErr w:type="spellEnd"/>
      <w:r w:rsidRPr="00FE5001">
        <w:rPr>
          <w:rFonts w:ascii="Times New Roman" w:eastAsia="Times New Roman" w:hAnsi="Times New Roman" w:cs="Times New Roman"/>
          <w:i/>
          <w:lang w:val="es-ES" w:eastAsia="es-ES"/>
        </w:rPr>
        <w:t xml:space="preserve"> por objetivos “</w:t>
      </w:r>
      <w:proofErr w:type="spellStart"/>
      <w:r w:rsidRPr="00FE5001">
        <w:rPr>
          <w:rFonts w:ascii="Times New Roman" w:eastAsia="Times New Roman" w:hAnsi="Times New Roman" w:cs="Times New Roman"/>
          <w:i/>
          <w:lang w:val="es-ES" w:eastAsia="es-ES"/>
        </w:rPr>
        <w:t>Success</w:t>
      </w:r>
      <w:proofErr w:type="spellEnd"/>
      <w:r w:rsidRPr="00FE5001">
        <w:rPr>
          <w:rFonts w:ascii="Times New Roman" w:eastAsia="Times New Roman" w:hAnsi="Times New Roman" w:cs="Times New Roman"/>
          <w:i/>
          <w:lang w:val="es-ES" w:eastAsia="es-ES"/>
        </w:rPr>
        <w:t xml:space="preserve"> </w:t>
      </w:r>
      <w:proofErr w:type="spellStart"/>
      <w:r w:rsidRPr="00FE5001">
        <w:rPr>
          <w:rFonts w:ascii="Times New Roman" w:eastAsia="Times New Roman" w:hAnsi="Times New Roman" w:cs="Times New Roman"/>
          <w:i/>
          <w:lang w:val="es-ES" w:eastAsia="es-ES"/>
        </w:rPr>
        <w:t>factors</w:t>
      </w:r>
      <w:proofErr w:type="spellEnd"/>
      <w:r w:rsidRPr="00FE5001">
        <w:rPr>
          <w:rFonts w:ascii="Times New Roman" w:eastAsia="Times New Roman" w:hAnsi="Times New Roman" w:cs="Times New Roman"/>
          <w:i/>
          <w:lang w:val="es-ES" w:eastAsia="es-ES"/>
        </w:rPr>
        <w:t>” que permitirá medir y monitorear la gestión de la Compañía en su estructura organizacional</w:t>
      </w:r>
      <w:r w:rsidR="00D70BF2" w:rsidRPr="00FE5001">
        <w:rPr>
          <w:rFonts w:ascii="Times New Roman" w:eastAsia="Times New Roman" w:hAnsi="Times New Roman" w:cs="Times New Roman"/>
          <w:i/>
          <w:lang w:val="es-ES" w:eastAsia="es-ES"/>
        </w:rPr>
        <w:t xml:space="preserve">. Esta nueva tecnología </w:t>
      </w:r>
      <w:r w:rsidRPr="00FE5001">
        <w:rPr>
          <w:rFonts w:ascii="Times New Roman" w:eastAsia="Times New Roman" w:hAnsi="Times New Roman" w:cs="Times New Roman"/>
          <w:i/>
          <w:lang w:val="es-ES" w:eastAsia="es-ES"/>
        </w:rPr>
        <w:t>atraviesa todos los procesos y permite alinear los objetivos de la organización y su personal acorde a la nueva estrategia que define la compañía como resultado del Planeamiento Estratégico.</w:t>
      </w:r>
    </w:p>
    <w:p w14:paraId="41B0BE07" w14:textId="77777777" w:rsidR="00D61EF9" w:rsidRPr="00FE5001" w:rsidRDefault="00D61EF9" w:rsidP="00FE5001">
      <w:pPr>
        <w:spacing w:after="0" w:line="240" w:lineRule="auto"/>
        <w:jc w:val="both"/>
        <w:rPr>
          <w:rFonts w:ascii="Times New Roman" w:eastAsia="Times New Roman" w:hAnsi="Times New Roman" w:cs="Times New Roman"/>
          <w:i/>
          <w:lang w:val="es-ES" w:eastAsia="es-ES"/>
        </w:rPr>
      </w:pPr>
    </w:p>
    <w:p w14:paraId="1A46D2C9" w14:textId="4849283E" w:rsidR="009D2B85" w:rsidRP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 xml:space="preserve">Con relación al Estado de Situación Patrimonial y tomando como referencia al Ejercicio anterior los resultados </w:t>
      </w:r>
      <w:r w:rsidR="00912199">
        <w:rPr>
          <w:rFonts w:ascii="Times New Roman" w:eastAsia="Times New Roman" w:hAnsi="Times New Roman" w:cs="Times New Roman"/>
          <w:i/>
          <w:lang w:val="es-ES" w:eastAsia="es-ES"/>
        </w:rPr>
        <w:t xml:space="preserve">consolidados </w:t>
      </w:r>
      <w:r w:rsidRPr="009D2B85">
        <w:rPr>
          <w:rFonts w:ascii="Times New Roman" w:eastAsia="Times New Roman" w:hAnsi="Times New Roman" w:cs="Times New Roman"/>
          <w:i/>
          <w:lang w:val="es-ES" w:eastAsia="es-ES"/>
        </w:rPr>
        <w:t>del período fueron negativos $1.341.765.131 y aumentaron un 37% respecto mismo período del año anterior, los mismos se vieron afectados por las siguientes variables principales:</w:t>
      </w:r>
    </w:p>
    <w:p w14:paraId="2A113706"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p>
    <w:p w14:paraId="71789806" w14:textId="3D7BBCE3" w:rsidR="009D2B85" w:rsidRP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 xml:space="preserve">1.   La pérdida </w:t>
      </w:r>
      <w:r w:rsidR="00912199">
        <w:rPr>
          <w:rFonts w:ascii="Times New Roman" w:eastAsia="Times New Roman" w:hAnsi="Times New Roman" w:cs="Times New Roman"/>
          <w:i/>
          <w:lang w:val="es-ES" w:eastAsia="es-ES"/>
        </w:rPr>
        <w:t xml:space="preserve">consolidada </w:t>
      </w:r>
      <w:r w:rsidRPr="009D2B85">
        <w:rPr>
          <w:rFonts w:ascii="Times New Roman" w:eastAsia="Times New Roman" w:hAnsi="Times New Roman" w:cs="Times New Roman"/>
          <w:i/>
          <w:lang w:val="es-ES" w:eastAsia="es-ES"/>
        </w:rPr>
        <w:t xml:space="preserve">resultante de los casinos dónde Boldt S.A. tiene participación, fue sustancialmente menor debido a la reapertura de </w:t>
      </w:r>
      <w:proofErr w:type="gramStart"/>
      <w:r w:rsidRPr="009D2B85">
        <w:rPr>
          <w:rFonts w:ascii="Times New Roman" w:eastAsia="Times New Roman" w:hAnsi="Times New Roman" w:cs="Times New Roman"/>
          <w:i/>
          <w:lang w:val="es-ES" w:eastAsia="es-ES"/>
        </w:rPr>
        <w:t>los mismos</w:t>
      </w:r>
      <w:proofErr w:type="gramEnd"/>
      <w:r w:rsidRPr="009D2B85">
        <w:rPr>
          <w:rFonts w:ascii="Times New Roman" w:eastAsia="Times New Roman" w:hAnsi="Times New Roman" w:cs="Times New Roman"/>
          <w:i/>
          <w:lang w:val="es-ES" w:eastAsia="es-ES"/>
        </w:rPr>
        <w:t xml:space="preserve"> en las diferentes locaciones pasando de una pérdida de $ 992MM en 2020 ajustado por inflación a una menor pérdida de $197MM en 2021.</w:t>
      </w:r>
    </w:p>
    <w:p w14:paraId="3A6D1CE2" w14:textId="44CB1E84" w:rsidR="009D2B85" w:rsidRP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2.   El incremento en las ventas consolidadas en este caso debido a la reapertura de las operaciones de los casinos de Buenos Aires, dado que las mismas del 2020 ajustadas por inflación al cierre de este ejercicio fueron de $ 3.0</w:t>
      </w:r>
      <w:r>
        <w:rPr>
          <w:rFonts w:ascii="Times New Roman" w:eastAsia="Times New Roman" w:hAnsi="Times New Roman" w:cs="Times New Roman"/>
          <w:i/>
          <w:lang w:val="es-ES" w:eastAsia="es-ES"/>
        </w:rPr>
        <w:t>2</w:t>
      </w:r>
      <w:r w:rsidRPr="009D2B85">
        <w:rPr>
          <w:rFonts w:ascii="Times New Roman" w:eastAsia="Times New Roman" w:hAnsi="Times New Roman" w:cs="Times New Roman"/>
          <w:i/>
          <w:lang w:val="es-ES" w:eastAsia="es-ES"/>
        </w:rPr>
        <w:t>1MM y las efectivamente realizadas en el 202</w:t>
      </w:r>
      <w:r>
        <w:rPr>
          <w:rFonts w:ascii="Times New Roman" w:eastAsia="Times New Roman" w:hAnsi="Times New Roman" w:cs="Times New Roman"/>
          <w:i/>
          <w:lang w:val="es-ES" w:eastAsia="es-ES"/>
        </w:rPr>
        <w:t>1</w:t>
      </w:r>
      <w:r w:rsidRPr="009D2B85">
        <w:rPr>
          <w:rFonts w:ascii="Times New Roman" w:eastAsia="Times New Roman" w:hAnsi="Times New Roman" w:cs="Times New Roman"/>
          <w:i/>
          <w:lang w:val="es-ES" w:eastAsia="es-ES"/>
        </w:rPr>
        <w:t xml:space="preserve"> fueron de $</w:t>
      </w:r>
      <w:r>
        <w:rPr>
          <w:rFonts w:ascii="Times New Roman" w:eastAsia="Times New Roman" w:hAnsi="Times New Roman" w:cs="Times New Roman"/>
          <w:i/>
          <w:lang w:val="es-ES" w:eastAsia="es-ES"/>
        </w:rPr>
        <w:t xml:space="preserve"> </w:t>
      </w:r>
      <w:r w:rsidRPr="009D2B85">
        <w:rPr>
          <w:rFonts w:ascii="Times New Roman" w:eastAsia="Times New Roman" w:hAnsi="Times New Roman" w:cs="Times New Roman"/>
          <w:i/>
          <w:lang w:val="es-ES" w:eastAsia="es-ES"/>
        </w:rPr>
        <w:t>3.290MM.</w:t>
      </w:r>
    </w:p>
    <w:p w14:paraId="06F9E9F0"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p>
    <w:p w14:paraId="0921895A" w14:textId="3999B641" w:rsidR="009D2B85" w:rsidRP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 xml:space="preserve">Los estados financieros son </w:t>
      </w:r>
      <w:proofErr w:type="spellStart"/>
      <w:r w:rsidRPr="009D2B85">
        <w:rPr>
          <w:rFonts w:ascii="Times New Roman" w:eastAsia="Times New Roman" w:hAnsi="Times New Roman" w:cs="Times New Roman"/>
          <w:i/>
          <w:lang w:val="es-ES" w:eastAsia="es-ES"/>
        </w:rPr>
        <w:t>reexpresados</w:t>
      </w:r>
      <w:proofErr w:type="spellEnd"/>
      <w:r w:rsidRPr="009D2B85">
        <w:rPr>
          <w:rFonts w:ascii="Times New Roman" w:eastAsia="Times New Roman" w:hAnsi="Times New Roman" w:cs="Times New Roman"/>
          <w:i/>
          <w:lang w:val="es-ES" w:eastAsia="es-ES"/>
        </w:rPr>
        <w:t xml:space="preserve"> por ajuste por inflación al 31 de octubre 2020 y 31 de octubre 2021. De no haberse producido dicho ajuste por inflación los resultados </w:t>
      </w:r>
      <w:r w:rsidR="00912199">
        <w:rPr>
          <w:rFonts w:ascii="Times New Roman" w:eastAsia="Times New Roman" w:hAnsi="Times New Roman" w:cs="Times New Roman"/>
          <w:i/>
          <w:lang w:val="es-ES" w:eastAsia="es-ES"/>
        </w:rPr>
        <w:t>consolidados</w:t>
      </w:r>
      <w:r w:rsidR="00912199" w:rsidRPr="009D2B85">
        <w:rPr>
          <w:rFonts w:ascii="Times New Roman" w:eastAsia="Times New Roman" w:hAnsi="Times New Roman" w:cs="Times New Roman"/>
          <w:i/>
          <w:lang w:val="es-ES" w:eastAsia="es-ES"/>
        </w:rPr>
        <w:t xml:space="preserve"> </w:t>
      </w:r>
      <w:r w:rsidR="00912199">
        <w:rPr>
          <w:rFonts w:ascii="Times New Roman" w:eastAsia="Times New Roman" w:hAnsi="Times New Roman" w:cs="Times New Roman"/>
          <w:i/>
          <w:lang w:val="es-ES" w:eastAsia="es-ES"/>
        </w:rPr>
        <w:t xml:space="preserve">del </w:t>
      </w:r>
      <w:r w:rsidRPr="009D2B85">
        <w:rPr>
          <w:rFonts w:ascii="Times New Roman" w:eastAsia="Times New Roman" w:hAnsi="Times New Roman" w:cs="Times New Roman"/>
          <w:i/>
          <w:lang w:val="es-ES" w:eastAsia="es-ES"/>
        </w:rPr>
        <w:t>ejercicio hubieran sido negativos $ 181.932.812 e inferiores un 75% al ejercicio anterior.</w:t>
      </w:r>
    </w:p>
    <w:p w14:paraId="669F0787"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p>
    <w:p w14:paraId="1E315338" w14:textId="18B3ED9D" w:rsid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 xml:space="preserve">Con fecha 26 de diciembre de 2018 fue aprobado el ajuste por inflación por la Comisión Nacional de Valores (“CNV”) en su Resolución </w:t>
      </w:r>
      <w:proofErr w:type="spellStart"/>
      <w:r w:rsidRPr="009D2B85">
        <w:rPr>
          <w:rFonts w:ascii="Times New Roman" w:eastAsia="Times New Roman" w:hAnsi="Times New Roman" w:cs="Times New Roman"/>
          <w:i/>
          <w:lang w:val="es-ES" w:eastAsia="es-ES"/>
        </w:rPr>
        <w:t>N°</w:t>
      </w:r>
      <w:proofErr w:type="spellEnd"/>
      <w:r w:rsidRPr="009D2B85">
        <w:rPr>
          <w:rFonts w:ascii="Times New Roman" w:eastAsia="Times New Roman" w:hAnsi="Times New Roman" w:cs="Times New Roman"/>
          <w:i/>
          <w:lang w:val="es-ES" w:eastAsia="es-ES"/>
        </w:rPr>
        <w:t xml:space="preserve"> 777/2018, la que establece que el ajuste se aplicará a los estados financieros (“EEFF”) cerrados a partir del 31 de diciembre de 2018 inclusive (ya sea de períodos intermedios o anuales), por consiguiente, siendo de aplicación para el actual período de análisis.</w:t>
      </w:r>
    </w:p>
    <w:p w14:paraId="49AF4E7E" w14:textId="77777777" w:rsidR="009D2B85" w:rsidRDefault="009D2B85" w:rsidP="009D2B85">
      <w:pPr>
        <w:spacing w:after="0" w:line="240" w:lineRule="auto"/>
        <w:jc w:val="both"/>
        <w:rPr>
          <w:rFonts w:ascii="Times New Roman" w:eastAsia="Times New Roman" w:hAnsi="Times New Roman" w:cs="Times New Roman"/>
          <w:i/>
          <w:lang w:val="es-ES" w:eastAsia="es-ES"/>
        </w:rPr>
      </w:pPr>
    </w:p>
    <w:p w14:paraId="76FF5FAA" w14:textId="4A6F2476" w:rsidR="00D61EF9" w:rsidRPr="00FE5001" w:rsidRDefault="00D61EF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Por otra parte, con efecto en el presente </w:t>
      </w:r>
      <w:r w:rsidR="00F528BB" w:rsidRPr="00FE5001">
        <w:rPr>
          <w:rFonts w:ascii="Times New Roman" w:eastAsia="Times New Roman" w:hAnsi="Times New Roman" w:cs="Times New Roman"/>
          <w:i/>
          <w:lang w:val="es-ES" w:eastAsia="es-ES"/>
        </w:rPr>
        <w:t>e</w:t>
      </w:r>
      <w:r w:rsidRPr="00FE5001">
        <w:rPr>
          <w:rFonts w:ascii="Times New Roman" w:eastAsia="Times New Roman" w:hAnsi="Times New Roman" w:cs="Times New Roman"/>
          <w:i/>
          <w:lang w:val="es-ES" w:eastAsia="es-ES"/>
        </w:rPr>
        <w:t xml:space="preserve">jercicio, la CNV </w:t>
      </w:r>
      <w:r w:rsidR="00F637C9" w:rsidRPr="00FE5001">
        <w:rPr>
          <w:rFonts w:ascii="Times New Roman" w:eastAsia="Times New Roman" w:hAnsi="Times New Roman" w:cs="Times New Roman"/>
          <w:i/>
          <w:lang w:val="es-ES" w:eastAsia="es-ES"/>
        </w:rPr>
        <w:t xml:space="preserve">aprobó </w:t>
      </w:r>
      <w:r w:rsidRPr="00FE5001">
        <w:rPr>
          <w:rFonts w:ascii="Times New Roman" w:eastAsia="Times New Roman" w:hAnsi="Times New Roman" w:cs="Times New Roman"/>
          <w:i/>
          <w:lang w:val="es-ES" w:eastAsia="es-ES"/>
        </w:rPr>
        <w:t>la capitalización parcial de la cuenta ajuste de capital,</w:t>
      </w:r>
      <w:r w:rsidR="00F637C9" w:rsidRPr="00FE5001">
        <w:rPr>
          <w:rFonts w:ascii="Times New Roman" w:eastAsia="Times New Roman" w:hAnsi="Times New Roman" w:cs="Times New Roman"/>
          <w:i/>
          <w:lang w:val="es-ES" w:eastAsia="es-ES"/>
        </w:rPr>
        <w:t xml:space="preserve"> y</w:t>
      </w:r>
      <w:r w:rsidRPr="00FE5001">
        <w:rPr>
          <w:rFonts w:ascii="Times New Roman" w:eastAsia="Times New Roman" w:hAnsi="Times New Roman" w:cs="Times New Roman"/>
          <w:i/>
          <w:lang w:val="es-ES" w:eastAsia="es-ES"/>
        </w:rPr>
        <w:t xml:space="preserve"> consecuente aumento de capital y emisión de acciones por </w:t>
      </w:r>
      <w:r w:rsidR="00F637C9" w:rsidRPr="00FE5001">
        <w:rPr>
          <w:rFonts w:ascii="Times New Roman" w:eastAsia="Times New Roman" w:hAnsi="Times New Roman" w:cs="Times New Roman"/>
          <w:i/>
          <w:lang w:val="es-ES" w:eastAsia="es-ES"/>
        </w:rPr>
        <w:t xml:space="preserve">un total de </w:t>
      </w:r>
      <w:r w:rsidRPr="00FE5001">
        <w:rPr>
          <w:rFonts w:ascii="Times New Roman" w:eastAsia="Times New Roman" w:hAnsi="Times New Roman" w:cs="Times New Roman"/>
          <w:i/>
          <w:lang w:val="es-ES" w:eastAsia="es-ES"/>
        </w:rPr>
        <w:t>$1.300.000.000, aprobado por la Asamblea General Ordinaria y Extraordinaria de Accionistas celebrada el pasado 18 de febrero de 2020, encontrándose en trámite de inscripción el mencionado aumento de capital ante la Inspección General de Justicia.</w:t>
      </w:r>
      <w:r w:rsidR="00F637C9" w:rsidRPr="00FE5001">
        <w:rPr>
          <w:rFonts w:ascii="Times New Roman" w:eastAsia="Times New Roman" w:hAnsi="Times New Roman" w:cs="Times New Roman"/>
          <w:i/>
          <w:lang w:val="es-ES" w:eastAsia="es-ES"/>
        </w:rPr>
        <w:t xml:space="preserve"> </w:t>
      </w:r>
      <w:r w:rsidR="00F528BB" w:rsidRPr="00FE5001">
        <w:rPr>
          <w:rFonts w:ascii="Times New Roman" w:eastAsia="Times New Roman" w:hAnsi="Times New Roman" w:cs="Times New Roman"/>
          <w:i/>
          <w:lang w:val="es-ES" w:eastAsia="es-ES"/>
        </w:rPr>
        <w:t>Finalmente, a</w:t>
      </w:r>
      <w:r w:rsidR="00F637C9" w:rsidRPr="00FE5001">
        <w:rPr>
          <w:rFonts w:ascii="Times New Roman" w:eastAsia="Times New Roman" w:hAnsi="Times New Roman" w:cs="Times New Roman"/>
          <w:i/>
          <w:lang w:val="es-ES" w:eastAsia="es-ES"/>
        </w:rPr>
        <w:t xml:space="preserve"> la fecha del presente y a consecuencia de la aprobación por parte de la CNV y</w:t>
      </w:r>
      <w:r w:rsidR="00F528BB" w:rsidRPr="00FE5001">
        <w:rPr>
          <w:rFonts w:ascii="Times New Roman" w:eastAsia="Times New Roman" w:hAnsi="Times New Roman" w:cs="Times New Roman"/>
          <w:i/>
          <w:lang w:val="es-ES" w:eastAsia="es-ES"/>
        </w:rPr>
        <w:t xml:space="preserve"> la</w:t>
      </w:r>
      <w:r w:rsidR="00F637C9" w:rsidRPr="00FE5001">
        <w:rPr>
          <w:rFonts w:ascii="Times New Roman" w:eastAsia="Times New Roman" w:hAnsi="Times New Roman" w:cs="Times New Roman"/>
          <w:i/>
          <w:lang w:val="es-ES" w:eastAsia="es-ES"/>
        </w:rPr>
        <w:t xml:space="preserve"> posterior inscripción en IGJ de la fusión por absorción de Torre Puerto Santa Fe S.A, el capital social de </w:t>
      </w:r>
      <w:r w:rsidR="00F528BB" w:rsidRPr="00FE5001">
        <w:rPr>
          <w:rFonts w:ascii="Times New Roman" w:eastAsia="Times New Roman" w:hAnsi="Times New Roman" w:cs="Times New Roman"/>
          <w:i/>
          <w:lang w:val="es-ES" w:eastAsia="es-ES"/>
        </w:rPr>
        <w:t>l</w:t>
      </w:r>
      <w:r w:rsidR="00F637C9" w:rsidRPr="00FE5001">
        <w:rPr>
          <w:rFonts w:ascii="Times New Roman" w:eastAsia="Times New Roman" w:hAnsi="Times New Roman" w:cs="Times New Roman"/>
          <w:i/>
          <w:lang w:val="es-ES" w:eastAsia="es-ES"/>
        </w:rPr>
        <w:t>a Sociedad ha sido aumentado de la suma de $3.000.000.000 a la suma de $3.150.754.394</w:t>
      </w:r>
      <w:r w:rsidR="00F528BB" w:rsidRPr="00FE5001">
        <w:rPr>
          <w:rFonts w:ascii="Times New Roman" w:eastAsia="Times New Roman" w:hAnsi="Times New Roman" w:cs="Times New Roman"/>
          <w:i/>
          <w:lang w:val="es-ES" w:eastAsia="es-ES"/>
        </w:rPr>
        <w:t xml:space="preserve"> encontrándose en proceso</w:t>
      </w:r>
      <w:r w:rsidR="00912199">
        <w:rPr>
          <w:rFonts w:ascii="Times New Roman" w:eastAsia="Times New Roman" w:hAnsi="Times New Roman" w:cs="Times New Roman"/>
          <w:i/>
          <w:lang w:val="es-ES" w:eastAsia="es-ES"/>
        </w:rPr>
        <w:t xml:space="preserve"> la efectiva</w:t>
      </w:r>
      <w:r w:rsidR="00F528BB" w:rsidRPr="00FE5001">
        <w:rPr>
          <w:rFonts w:ascii="Times New Roman" w:eastAsia="Times New Roman" w:hAnsi="Times New Roman" w:cs="Times New Roman"/>
          <w:i/>
          <w:lang w:val="es-ES" w:eastAsia="es-ES"/>
        </w:rPr>
        <w:t xml:space="preserve"> la emisión</w:t>
      </w:r>
      <w:r w:rsidR="00912199">
        <w:rPr>
          <w:rFonts w:ascii="Times New Roman" w:eastAsia="Times New Roman" w:hAnsi="Times New Roman" w:cs="Times New Roman"/>
          <w:i/>
          <w:lang w:val="es-ES" w:eastAsia="es-ES"/>
        </w:rPr>
        <w:t>,</w:t>
      </w:r>
      <w:r w:rsidR="00F528BB" w:rsidRPr="00FE5001">
        <w:rPr>
          <w:rFonts w:ascii="Times New Roman" w:eastAsia="Times New Roman" w:hAnsi="Times New Roman" w:cs="Times New Roman"/>
          <w:i/>
          <w:lang w:val="es-ES" w:eastAsia="es-ES"/>
        </w:rPr>
        <w:t xml:space="preserve"> canje </w:t>
      </w:r>
      <w:r w:rsidR="00912199">
        <w:rPr>
          <w:rFonts w:ascii="Times New Roman" w:eastAsia="Times New Roman" w:hAnsi="Times New Roman" w:cs="Times New Roman"/>
          <w:i/>
          <w:lang w:val="es-ES" w:eastAsia="es-ES"/>
        </w:rPr>
        <w:t xml:space="preserve">y acreditación </w:t>
      </w:r>
      <w:r w:rsidR="00F528BB" w:rsidRPr="00FE5001">
        <w:rPr>
          <w:rFonts w:ascii="Times New Roman" w:eastAsia="Times New Roman" w:hAnsi="Times New Roman" w:cs="Times New Roman"/>
          <w:i/>
          <w:lang w:val="es-ES" w:eastAsia="es-ES"/>
        </w:rPr>
        <w:t>de las correspondiente</w:t>
      </w:r>
      <w:r w:rsidR="008C0332" w:rsidRPr="00FE5001">
        <w:rPr>
          <w:rFonts w:ascii="Times New Roman" w:eastAsia="Times New Roman" w:hAnsi="Times New Roman" w:cs="Times New Roman"/>
          <w:i/>
          <w:lang w:val="es-ES" w:eastAsia="es-ES"/>
        </w:rPr>
        <w:t>s</w:t>
      </w:r>
      <w:r w:rsidR="00F528BB" w:rsidRPr="00FE5001">
        <w:rPr>
          <w:rFonts w:ascii="Times New Roman" w:eastAsia="Times New Roman" w:hAnsi="Times New Roman" w:cs="Times New Roman"/>
          <w:i/>
          <w:lang w:val="es-ES" w:eastAsia="es-ES"/>
        </w:rPr>
        <w:t xml:space="preserve"> acciones</w:t>
      </w:r>
      <w:r w:rsidR="00912199">
        <w:rPr>
          <w:rFonts w:ascii="Times New Roman" w:eastAsia="Times New Roman" w:hAnsi="Times New Roman" w:cs="Times New Roman"/>
          <w:i/>
          <w:lang w:val="es-ES" w:eastAsia="es-ES"/>
        </w:rPr>
        <w:t xml:space="preserve"> en los registros de Caja de Valores S.A</w:t>
      </w:r>
      <w:r w:rsidR="00B24070">
        <w:rPr>
          <w:rFonts w:ascii="Times New Roman" w:eastAsia="Times New Roman" w:hAnsi="Times New Roman" w:cs="Times New Roman"/>
          <w:i/>
          <w:lang w:val="es-ES" w:eastAsia="es-ES"/>
        </w:rPr>
        <w:t>.</w:t>
      </w:r>
      <w:r w:rsidR="00F528BB" w:rsidRPr="00FE5001">
        <w:rPr>
          <w:rFonts w:ascii="Times New Roman" w:eastAsia="Times New Roman" w:hAnsi="Times New Roman" w:cs="Times New Roman"/>
          <w:i/>
          <w:lang w:val="es-ES" w:eastAsia="es-ES"/>
        </w:rPr>
        <w:t xml:space="preserve"> </w:t>
      </w:r>
    </w:p>
    <w:p w14:paraId="3E05E8BB" w14:textId="77777777" w:rsidR="00D61EF9" w:rsidRPr="00FE5001" w:rsidRDefault="00D61EF9" w:rsidP="00FE5001">
      <w:pPr>
        <w:spacing w:after="0" w:line="240" w:lineRule="auto"/>
        <w:jc w:val="both"/>
        <w:rPr>
          <w:rFonts w:ascii="Times New Roman" w:eastAsia="Times New Roman" w:hAnsi="Times New Roman" w:cs="Times New Roman"/>
          <w:i/>
          <w:highlight w:val="yellow"/>
          <w:lang w:val="es-ES" w:eastAsia="es-ES"/>
        </w:rPr>
      </w:pPr>
    </w:p>
    <w:p w14:paraId="523F0E3E"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r w:rsidRPr="009D2B85">
        <w:rPr>
          <w:rFonts w:ascii="Times New Roman" w:eastAsia="Times New Roman" w:hAnsi="Times New Roman" w:cs="Times New Roman"/>
          <w:i/>
          <w:lang w:val="es-ES" w:eastAsia="es-ES"/>
        </w:rPr>
        <w:t>En particular podemos mencionar:</w:t>
      </w:r>
    </w:p>
    <w:p w14:paraId="58123B09"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p>
    <w:p w14:paraId="4E6FB24B" w14:textId="0417CF66" w:rsidR="009D2B85" w:rsidRPr="002C49E5" w:rsidRDefault="009D2B85" w:rsidP="002C49E5">
      <w:pPr>
        <w:pStyle w:val="Prrafodelista"/>
        <w:numPr>
          <w:ilvl w:val="0"/>
          <w:numId w:val="10"/>
        </w:numPr>
        <w:spacing w:after="0" w:line="240" w:lineRule="auto"/>
        <w:jc w:val="both"/>
        <w:rPr>
          <w:rFonts w:ascii="Times New Roman" w:eastAsia="Times New Roman" w:hAnsi="Times New Roman" w:cs="Times New Roman"/>
          <w:i/>
          <w:lang w:val="es-ES" w:eastAsia="es-ES"/>
        </w:rPr>
      </w:pPr>
      <w:r w:rsidRPr="002C49E5">
        <w:rPr>
          <w:rFonts w:ascii="Times New Roman" w:eastAsia="Times New Roman" w:hAnsi="Times New Roman" w:cs="Times New Roman"/>
          <w:i/>
          <w:lang w:val="es-ES" w:eastAsia="es-ES"/>
        </w:rPr>
        <w:t>Un resultado anual de ($1.342 Millones), un 37% superior al año anterior.</w:t>
      </w:r>
    </w:p>
    <w:p w14:paraId="2E17C1E9" w14:textId="77777777" w:rsidR="009D2B85" w:rsidRPr="009D2B85" w:rsidRDefault="009D2B85" w:rsidP="009D2B85">
      <w:pPr>
        <w:spacing w:after="0" w:line="240" w:lineRule="auto"/>
        <w:jc w:val="both"/>
        <w:rPr>
          <w:rFonts w:ascii="Times New Roman" w:eastAsia="Times New Roman" w:hAnsi="Times New Roman" w:cs="Times New Roman"/>
          <w:i/>
          <w:lang w:val="es-ES" w:eastAsia="es-ES"/>
        </w:rPr>
      </w:pPr>
    </w:p>
    <w:p w14:paraId="6076D93D" w14:textId="207C1C34" w:rsidR="009D2B85" w:rsidRPr="002C49E5" w:rsidRDefault="009D2B85" w:rsidP="002C49E5">
      <w:pPr>
        <w:pStyle w:val="Prrafodelista"/>
        <w:numPr>
          <w:ilvl w:val="0"/>
          <w:numId w:val="10"/>
        </w:numPr>
        <w:spacing w:after="0" w:line="240" w:lineRule="auto"/>
        <w:jc w:val="both"/>
        <w:rPr>
          <w:rFonts w:ascii="Times New Roman" w:eastAsia="Times New Roman" w:hAnsi="Times New Roman" w:cs="Times New Roman"/>
          <w:i/>
          <w:lang w:val="es-ES" w:eastAsia="es-ES"/>
        </w:rPr>
      </w:pPr>
      <w:r w:rsidRPr="002C49E5">
        <w:rPr>
          <w:rFonts w:ascii="Times New Roman" w:eastAsia="Times New Roman" w:hAnsi="Times New Roman" w:cs="Times New Roman"/>
          <w:i/>
          <w:lang w:val="es-ES" w:eastAsia="es-ES"/>
        </w:rPr>
        <w:t>Sólida estructura patrimonial con un Patrimonio Neto de $7156 Millones.</w:t>
      </w:r>
    </w:p>
    <w:p w14:paraId="4A78F1F2" w14:textId="77777777" w:rsidR="009D2B85" w:rsidRPr="002C49E5" w:rsidRDefault="009D2B85" w:rsidP="009D2B85">
      <w:pPr>
        <w:spacing w:after="0" w:line="240" w:lineRule="auto"/>
        <w:jc w:val="both"/>
        <w:rPr>
          <w:rFonts w:ascii="Times New Roman" w:eastAsia="Times New Roman" w:hAnsi="Times New Roman" w:cs="Times New Roman"/>
          <w:i/>
          <w:lang w:val="es-ES" w:eastAsia="es-ES"/>
        </w:rPr>
      </w:pPr>
    </w:p>
    <w:p w14:paraId="1CE6A343" w14:textId="5452A771" w:rsidR="009D2B85" w:rsidRPr="002C49E5" w:rsidRDefault="009D2B85" w:rsidP="002C49E5">
      <w:pPr>
        <w:pStyle w:val="Prrafodelista"/>
        <w:numPr>
          <w:ilvl w:val="0"/>
          <w:numId w:val="10"/>
        </w:numPr>
        <w:spacing w:after="0" w:line="240" w:lineRule="auto"/>
        <w:jc w:val="both"/>
        <w:rPr>
          <w:rFonts w:ascii="Times New Roman" w:eastAsia="Times New Roman" w:hAnsi="Times New Roman" w:cs="Times New Roman"/>
          <w:i/>
          <w:lang w:val="es-ES" w:eastAsia="es-ES"/>
        </w:rPr>
      </w:pPr>
      <w:r w:rsidRPr="002C49E5">
        <w:rPr>
          <w:rFonts w:ascii="Times New Roman" w:eastAsia="Times New Roman" w:hAnsi="Times New Roman" w:cs="Times New Roman"/>
          <w:i/>
          <w:lang w:val="es-ES" w:eastAsia="es-ES"/>
        </w:rPr>
        <w:t>Liquidez disponible para futuras inversiones de $2.793 Millones.</w:t>
      </w:r>
    </w:p>
    <w:p w14:paraId="57120CB7" w14:textId="77777777" w:rsidR="009D2B85" w:rsidRPr="002C49E5" w:rsidRDefault="009D2B85" w:rsidP="009D2B85">
      <w:pPr>
        <w:spacing w:after="0" w:line="240" w:lineRule="auto"/>
        <w:jc w:val="both"/>
        <w:rPr>
          <w:rFonts w:ascii="Times New Roman" w:eastAsia="Times New Roman" w:hAnsi="Times New Roman" w:cs="Times New Roman"/>
          <w:i/>
          <w:lang w:val="es-ES" w:eastAsia="es-ES"/>
        </w:rPr>
      </w:pPr>
    </w:p>
    <w:p w14:paraId="28DA2662" w14:textId="01EE8EDE" w:rsidR="00D61EF9" w:rsidRPr="002C49E5" w:rsidRDefault="009D2B85" w:rsidP="002C49E5">
      <w:pPr>
        <w:pStyle w:val="Prrafodelista"/>
        <w:numPr>
          <w:ilvl w:val="0"/>
          <w:numId w:val="10"/>
        </w:numPr>
        <w:spacing w:after="0" w:line="240" w:lineRule="auto"/>
        <w:jc w:val="both"/>
        <w:rPr>
          <w:rFonts w:ascii="Times New Roman" w:eastAsia="Times New Roman" w:hAnsi="Times New Roman" w:cs="Times New Roman"/>
          <w:i/>
          <w:lang w:val="es-ES" w:eastAsia="es-ES"/>
        </w:rPr>
      </w:pPr>
      <w:r w:rsidRPr="002C49E5">
        <w:rPr>
          <w:rFonts w:ascii="Times New Roman" w:eastAsia="Times New Roman" w:hAnsi="Times New Roman" w:cs="Times New Roman"/>
          <w:i/>
          <w:lang w:val="es-ES" w:eastAsia="es-ES"/>
        </w:rPr>
        <w:lastRenderedPageBreak/>
        <w:t>RESULTADOS</w:t>
      </w:r>
    </w:p>
    <w:p w14:paraId="53FF3A4B" w14:textId="77777777" w:rsidR="00D61EF9" w:rsidRPr="00FE5001" w:rsidRDefault="00D61EF9" w:rsidP="00FE5001">
      <w:pPr>
        <w:spacing w:after="0" w:line="240" w:lineRule="auto"/>
        <w:jc w:val="both"/>
        <w:rPr>
          <w:rFonts w:ascii="Times New Roman" w:eastAsia="Times New Roman" w:hAnsi="Times New Roman" w:cs="Times New Roman"/>
          <w:i/>
          <w:highlight w:val="yellow"/>
          <w:lang w:val="es-ES" w:eastAsia="es-ES"/>
        </w:rPr>
      </w:pPr>
    </w:p>
    <w:p w14:paraId="795703E1" w14:textId="25D5BF73" w:rsidR="00B24070" w:rsidRPr="003E1B3E" w:rsidRDefault="00B24070" w:rsidP="00B24070">
      <w:pPr>
        <w:spacing w:after="0" w:line="240" w:lineRule="auto"/>
        <w:jc w:val="both"/>
        <w:rPr>
          <w:rFonts w:ascii="Times New Roman" w:eastAsia="Times New Roman" w:hAnsi="Times New Roman" w:cs="Times New Roman"/>
          <w:i/>
          <w:lang w:val="es-ES" w:eastAsia="es-ES"/>
        </w:rPr>
      </w:pPr>
      <w:r w:rsidRPr="003E1B3E">
        <w:rPr>
          <w:rFonts w:ascii="Times New Roman" w:eastAsia="Times New Roman" w:hAnsi="Times New Roman" w:cs="Times New Roman"/>
          <w:i/>
          <w:lang w:val="es-ES" w:eastAsia="es-ES"/>
        </w:rPr>
        <w:t>El Directorio propondrá delegar en la asamblea de accionistas la decisión sobre el destino a dar a los resultados no asignados negativos</w:t>
      </w:r>
      <w:r w:rsidR="009124B0">
        <w:rPr>
          <w:rFonts w:ascii="Times New Roman" w:eastAsia="Times New Roman" w:hAnsi="Times New Roman" w:cs="Times New Roman"/>
          <w:i/>
          <w:lang w:val="es-ES" w:eastAsia="es-ES"/>
        </w:rPr>
        <w:t>.</w:t>
      </w:r>
    </w:p>
    <w:p w14:paraId="3D63D0BD" w14:textId="77777777" w:rsidR="00B24070" w:rsidRPr="003E1B3E" w:rsidRDefault="00B24070" w:rsidP="003E1B3E">
      <w:pPr>
        <w:spacing w:after="0" w:line="240" w:lineRule="auto"/>
        <w:ind w:left="360"/>
        <w:jc w:val="both"/>
        <w:rPr>
          <w:rFonts w:ascii="Times New Roman" w:eastAsia="Times New Roman" w:hAnsi="Times New Roman" w:cs="Times New Roman"/>
          <w:i/>
          <w:lang w:val="es-ES" w:eastAsia="es-ES"/>
        </w:rPr>
      </w:pPr>
    </w:p>
    <w:p w14:paraId="016C2E09" w14:textId="0AD633CE" w:rsidR="00D61EF9" w:rsidRPr="00FE5001" w:rsidRDefault="00D61EF9"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w:t>
      </w:r>
      <w:r w:rsidR="00F528BB" w:rsidRPr="00FE5001">
        <w:rPr>
          <w:rFonts w:ascii="Times New Roman" w:eastAsia="Times New Roman" w:hAnsi="Times New Roman" w:cs="Times New Roman"/>
          <w:i/>
          <w:lang w:val="es-ES" w:eastAsia="es-ES"/>
        </w:rPr>
        <w:t>e</w:t>
      </w:r>
      <w:r w:rsidRPr="00FE5001">
        <w:rPr>
          <w:rFonts w:ascii="Times New Roman" w:eastAsia="Times New Roman" w:hAnsi="Times New Roman" w:cs="Times New Roman"/>
          <w:i/>
          <w:lang w:val="es-ES" w:eastAsia="es-ES"/>
        </w:rPr>
        <w:t>jercicio de Boldt S.A. cerró con un total de resultados no asignados negativos que ascienden a $</w:t>
      </w:r>
      <w:r w:rsidR="009D2B85" w:rsidRPr="009D2B85">
        <w:rPr>
          <w:rFonts w:ascii="Times New Roman" w:eastAsia="Times New Roman" w:hAnsi="Times New Roman" w:cs="Times New Roman"/>
          <w:i/>
          <w:lang w:val="es-ES" w:eastAsia="es-ES"/>
        </w:rPr>
        <w:t>3.551.59</w:t>
      </w:r>
      <w:r w:rsidR="001761E4">
        <w:rPr>
          <w:rFonts w:ascii="Times New Roman" w:eastAsia="Times New Roman" w:hAnsi="Times New Roman" w:cs="Times New Roman"/>
          <w:i/>
          <w:lang w:val="es-ES" w:eastAsia="es-ES"/>
        </w:rPr>
        <w:t>7</w:t>
      </w:r>
      <w:r w:rsidR="009D2B85" w:rsidRPr="009D2B85">
        <w:rPr>
          <w:rFonts w:ascii="Times New Roman" w:eastAsia="Times New Roman" w:hAnsi="Times New Roman" w:cs="Times New Roman"/>
          <w:i/>
          <w:lang w:val="es-ES" w:eastAsia="es-ES"/>
        </w:rPr>
        <w:t>.121</w:t>
      </w:r>
      <w:r w:rsidRPr="00FE5001">
        <w:rPr>
          <w:rFonts w:ascii="Times New Roman" w:eastAsia="Times New Roman" w:hAnsi="Times New Roman" w:cs="Times New Roman"/>
          <w:i/>
          <w:lang w:val="es-ES" w:eastAsia="es-ES"/>
        </w:rPr>
        <w:t>.- Contra este resultado se han imputado las remuneraciones y honorarios al Directorio por $</w:t>
      </w:r>
      <w:r w:rsidR="00F528BB" w:rsidRPr="00FE5001">
        <w:rPr>
          <w:rFonts w:ascii="Times New Roman" w:eastAsia="Times New Roman" w:hAnsi="Times New Roman" w:cs="Times New Roman"/>
          <w:i/>
          <w:lang w:val="es-ES" w:eastAsia="es-ES"/>
        </w:rPr>
        <w:t>32.994.544,67</w:t>
      </w:r>
      <w:r w:rsidR="001B660D">
        <w:rPr>
          <w:rFonts w:ascii="Times New Roman" w:eastAsia="Times New Roman" w:hAnsi="Times New Roman" w:cs="Times New Roman"/>
          <w:i/>
          <w:lang w:val="es-ES" w:eastAsia="es-ES"/>
        </w:rPr>
        <w:t>(valor histórico)</w:t>
      </w:r>
      <w:r w:rsidR="00F528BB" w:rsidRPr="00FE5001">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y los honorarios a la Comisión Fiscalizadora por $</w:t>
      </w:r>
      <w:r w:rsidR="00F528BB" w:rsidRPr="00FE5001">
        <w:rPr>
          <w:rFonts w:ascii="Times New Roman" w:eastAsia="Times New Roman" w:hAnsi="Times New Roman" w:cs="Times New Roman"/>
          <w:i/>
          <w:lang w:val="es-ES" w:eastAsia="es-ES"/>
        </w:rPr>
        <w:t>288.000</w:t>
      </w:r>
      <w:r w:rsidR="001B660D">
        <w:rPr>
          <w:rFonts w:ascii="Times New Roman" w:eastAsia="Times New Roman" w:hAnsi="Times New Roman" w:cs="Times New Roman"/>
          <w:i/>
          <w:lang w:val="es-ES" w:eastAsia="es-ES"/>
        </w:rPr>
        <w:t xml:space="preserve"> (valor histórico)</w:t>
      </w:r>
      <w:r w:rsidR="001B7C3A">
        <w:rPr>
          <w:rFonts w:ascii="Times New Roman" w:eastAsia="Times New Roman" w:hAnsi="Times New Roman" w:cs="Times New Roman"/>
          <w:i/>
          <w:lang w:val="es-ES" w:eastAsia="es-ES"/>
        </w:rPr>
        <w:t>.</w:t>
      </w:r>
      <w:r w:rsidR="001B660D">
        <w:rPr>
          <w:rFonts w:ascii="Times New Roman" w:eastAsia="Times New Roman" w:hAnsi="Times New Roman" w:cs="Times New Roman"/>
          <w:i/>
          <w:lang w:val="es-ES" w:eastAsia="es-ES"/>
        </w:rPr>
        <w:t xml:space="preserve"> Dichos valores ajustados al cierre de ejercicio equivalen a $</w:t>
      </w:r>
      <w:r w:rsidR="00B24070">
        <w:rPr>
          <w:rFonts w:ascii="Times New Roman" w:eastAsia="Times New Roman" w:hAnsi="Times New Roman" w:cs="Times New Roman"/>
          <w:i/>
          <w:lang w:val="es-ES" w:eastAsia="es-ES"/>
        </w:rPr>
        <w:t xml:space="preserve">39.980.760 y $348.847 respectivamente.  </w:t>
      </w:r>
    </w:p>
    <w:p w14:paraId="2E2EBA21" w14:textId="77777777" w:rsidR="00D61EF9" w:rsidRPr="00FE5001" w:rsidRDefault="00D61EF9" w:rsidP="00FE5001">
      <w:pPr>
        <w:spacing w:after="0" w:line="240" w:lineRule="auto"/>
        <w:jc w:val="both"/>
        <w:rPr>
          <w:rFonts w:ascii="Times New Roman" w:eastAsia="Times New Roman" w:hAnsi="Times New Roman" w:cs="Times New Roman"/>
          <w:i/>
          <w:lang w:val="es-ES" w:eastAsia="es-ES"/>
        </w:rPr>
      </w:pPr>
    </w:p>
    <w:bookmarkEnd w:id="10"/>
    <w:p w14:paraId="588F96EC" w14:textId="77777777" w:rsidR="00491A30" w:rsidRPr="00FE5001" w:rsidRDefault="00491A30"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Política de Dividendos:</w:t>
      </w:r>
    </w:p>
    <w:p w14:paraId="179DCC94" w14:textId="77777777" w:rsidR="00491A30" w:rsidRPr="00FE5001" w:rsidRDefault="00491A30" w:rsidP="008E7002">
      <w:pPr>
        <w:spacing w:after="0" w:line="240" w:lineRule="auto"/>
        <w:jc w:val="both"/>
        <w:rPr>
          <w:rFonts w:ascii="Times New Roman" w:eastAsia="Times New Roman" w:hAnsi="Times New Roman" w:cs="Times New Roman"/>
          <w:i/>
          <w:lang w:val="es-ES" w:eastAsia="es-ES"/>
        </w:rPr>
      </w:pPr>
    </w:p>
    <w:p w14:paraId="1BBE1260" w14:textId="37EB94F2" w:rsidR="00491A30" w:rsidRPr="00FE5001" w:rsidRDefault="009D2B85" w:rsidP="008E7002">
      <w:pPr>
        <w:spacing w:after="0" w:line="240" w:lineRule="auto"/>
        <w:jc w:val="both"/>
        <w:rPr>
          <w:rFonts w:ascii="Times New Roman" w:eastAsia="Times New Roman" w:hAnsi="Times New Roman" w:cs="Times New Roman"/>
          <w:i/>
          <w:lang w:val="es-ES" w:eastAsia="es-ES"/>
        </w:rPr>
      </w:pPr>
      <w:r w:rsidRPr="00C35966">
        <w:rPr>
          <w:rFonts w:ascii="Times New Roman" w:eastAsia="Times New Roman" w:hAnsi="Times New Roman" w:cs="Times New Roman"/>
          <w:i/>
          <w:lang w:val="es-ES" w:eastAsia="es-ES"/>
        </w:rPr>
        <w:t>Boldt S.A. mantiene una política de distribución de dividendos que se encuentra íntimamente relacionada con la evolución y proyección de los negocios, con los compromisos asumidos por la Compañía y de acuerdo con la regulación que emitan los órganos de contralor al respecto (aplicación del ajuste por inflación). Lamentablemente dicha política de distribución de dividendos que ha venido teniendo de manera consecuente durante los últimos años, se ha visto distorsionada estos dos últimos años por efectos de la pandemia que ha producido una fuerte caída de sus ingresos y en consecuencia de sus resultados y por efectos del ajuste por inflación, dado los altos índices de ajuste de estos últimos años.</w:t>
      </w:r>
    </w:p>
    <w:p w14:paraId="28698082" w14:textId="5DF28163" w:rsidR="00E87196" w:rsidRPr="00FE5001" w:rsidRDefault="00E87196" w:rsidP="00FE5001">
      <w:pPr>
        <w:spacing w:after="0" w:line="240" w:lineRule="auto"/>
        <w:jc w:val="both"/>
        <w:rPr>
          <w:rFonts w:ascii="Times New Roman" w:hAnsi="Times New Roman" w:cs="Times New Roman"/>
          <w:i/>
          <w:iCs/>
        </w:rPr>
      </w:pPr>
    </w:p>
    <w:p w14:paraId="44D17989" w14:textId="77777777" w:rsidR="00925DEC" w:rsidRPr="00FE5001" w:rsidRDefault="00925DEC" w:rsidP="00FE5001">
      <w:pPr>
        <w:spacing w:after="0" w:line="240" w:lineRule="auto"/>
        <w:jc w:val="both"/>
        <w:rPr>
          <w:rFonts w:ascii="Times New Roman" w:hAnsi="Times New Roman" w:cs="Times New Roman"/>
          <w:b/>
          <w:bCs/>
          <w:i/>
          <w:iCs/>
        </w:rPr>
      </w:pPr>
      <w:r w:rsidRPr="00FE5001">
        <w:rPr>
          <w:rFonts w:ascii="Times New Roman" w:hAnsi="Times New Roman" w:cs="Times New Roman"/>
          <w:b/>
          <w:bCs/>
          <w:i/>
          <w:iCs/>
        </w:rPr>
        <w:t>PERSPECTIVAS</w:t>
      </w:r>
    </w:p>
    <w:p w14:paraId="7E433F78" w14:textId="77777777" w:rsidR="00B0678E" w:rsidRPr="00FE5001" w:rsidRDefault="00B0678E" w:rsidP="00FE5001">
      <w:pPr>
        <w:spacing w:after="0" w:line="240" w:lineRule="auto"/>
        <w:jc w:val="both"/>
        <w:rPr>
          <w:rFonts w:ascii="Times New Roman" w:hAnsi="Times New Roman" w:cs="Times New Roman"/>
          <w:i/>
          <w:iCs/>
        </w:rPr>
      </w:pPr>
    </w:p>
    <w:p w14:paraId="7170F9ED" w14:textId="1E580E61" w:rsidR="008C2EA9" w:rsidRPr="00FE5001" w:rsidRDefault="008C2EA9"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El grado de avance de la pandemia y sus secuenciales mutaciones y nuevas cepas con diferentes impactos en la salud y la economía, </w:t>
      </w:r>
      <w:r w:rsidR="000440C6" w:rsidRPr="00FE5001">
        <w:rPr>
          <w:rFonts w:ascii="Times New Roman" w:hAnsi="Times New Roman" w:cs="Times New Roman"/>
          <w:i/>
          <w:iCs/>
        </w:rPr>
        <w:t>h</w:t>
      </w:r>
      <w:r w:rsidRPr="00FE5001">
        <w:rPr>
          <w:rFonts w:ascii="Times New Roman" w:hAnsi="Times New Roman" w:cs="Times New Roman"/>
          <w:i/>
          <w:iCs/>
        </w:rPr>
        <w:t xml:space="preserve">a hecho significativos cambios en los comportamientos transaccionales de los países y las personas en particular teniendo que habituarse a diferentes </w:t>
      </w:r>
      <w:r w:rsidR="00B240E6" w:rsidRPr="00FE5001">
        <w:rPr>
          <w:rFonts w:ascii="Times New Roman" w:hAnsi="Times New Roman" w:cs="Times New Roman"/>
          <w:i/>
          <w:iCs/>
        </w:rPr>
        <w:t>e</w:t>
      </w:r>
      <w:r w:rsidRPr="00FE5001">
        <w:rPr>
          <w:rFonts w:ascii="Times New Roman" w:hAnsi="Times New Roman" w:cs="Times New Roman"/>
          <w:i/>
          <w:iCs/>
        </w:rPr>
        <w:t>st</w:t>
      </w:r>
      <w:r w:rsidR="00B240E6" w:rsidRPr="00FE5001">
        <w:rPr>
          <w:rFonts w:ascii="Times New Roman" w:hAnsi="Times New Roman" w:cs="Times New Roman"/>
          <w:i/>
          <w:iCs/>
        </w:rPr>
        <w:t>á</w:t>
      </w:r>
      <w:r w:rsidRPr="00FE5001">
        <w:rPr>
          <w:rFonts w:ascii="Times New Roman" w:hAnsi="Times New Roman" w:cs="Times New Roman"/>
          <w:i/>
          <w:iCs/>
        </w:rPr>
        <w:t xml:space="preserve">ndares de vida </w:t>
      </w:r>
      <w:proofErr w:type="gramStart"/>
      <w:r w:rsidRPr="00FE5001">
        <w:rPr>
          <w:rFonts w:ascii="Times New Roman" w:hAnsi="Times New Roman" w:cs="Times New Roman"/>
          <w:i/>
          <w:iCs/>
        </w:rPr>
        <w:t>nunca antes</w:t>
      </w:r>
      <w:proofErr w:type="gramEnd"/>
      <w:r w:rsidRPr="00FE5001">
        <w:rPr>
          <w:rFonts w:ascii="Times New Roman" w:hAnsi="Times New Roman" w:cs="Times New Roman"/>
          <w:i/>
          <w:iCs/>
        </w:rPr>
        <w:t xml:space="preserve"> pensados.</w:t>
      </w:r>
    </w:p>
    <w:p w14:paraId="7B02A04A" w14:textId="77777777" w:rsidR="00B0678E" w:rsidRPr="00FE5001" w:rsidRDefault="00B0678E" w:rsidP="00FE5001">
      <w:pPr>
        <w:spacing w:after="0" w:line="240" w:lineRule="auto"/>
        <w:jc w:val="both"/>
        <w:rPr>
          <w:rFonts w:ascii="Times New Roman" w:hAnsi="Times New Roman" w:cs="Times New Roman"/>
          <w:i/>
          <w:iCs/>
        </w:rPr>
      </w:pPr>
    </w:p>
    <w:p w14:paraId="62463B85" w14:textId="332C5D81" w:rsidR="00925DEC" w:rsidRPr="00FE5001" w:rsidRDefault="008C2EA9"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En Argentina hemos transcurrido elecciones parlamentarias dejando vencedores y </w:t>
      </w:r>
      <w:proofErr w:type="gramStart"/>
      <w:r w:rsidRPr="00FE5001">
        <w:rPr>
          <w:rFonts w:ascii="Times New Roman" w:hAnsi="Times New Roman" w:cs="Times New Roman"/>
          <w:i/>
          <w:iCs/>
        </w:rPr>
        <w:t>vencidos</w:t>
      </w:r>
      <w:proofErr w:type="gramEnd"/>
      <w:r w:rsidRPr="00FE5001">
        <w:rPr>
          <w:rFonts w:ascii="Times New Roman" w:hAnsi="Times New Roman" w:cs="Times New Roman"/>
          <w:i/>
          <w:iCs/>
        </w:rPr>
        <w:t xml:space="preserve"> pero en términos pr</w:t>
      </w:r>
      <w:r w:rsidR="00080E0A" w:rsidRPr="00FE5001">
        <w:rPr>
          <w:rFonts w:ascii="Times New Roman" w:hAnsi="Times New Roman" w:cs="Times New Roman"/>
          <w:i/>
          <w:iCs/>
        </w:rPr>
        <w:t>á</w:t>
      </w:r>
      <w:r w:rsidRPr="00FE5001">
        <w:rPr>
          <w:rFonts w:ascii="Times New Roman" w:hAnsi="Times New Roman" w:cs="Times New Roman"/>
          <w:i/>
          <w:iCs/>
        </w:rPr>
        <w:t xml:space="preserve">cticos con una situación económica compleja </w:t>
      </w:r>
      <w:r w:rsidR="00B240E6" w:rsidRPr="00FE5001">
        <w:rPr>
          <w:rFonts w:ascii="Times New Roman" w:hAnsi="Times New Roman" w:cs="Times New Roman"/>
          <w:i/>
          <w:iCs/>
        </w:rPr>
        <w:t xml:space="preserve">en la cual </w:t>
      </w:r>
      <w:r w:rsidRPr="00FE5001">
        <w:rPr>
          <w:rFonts w:ascii="Times New Roman" w:hAnsi="Times New Roman" w:cs="Times New Roman"/>
          <w:i/>
          <w:iCs/>
        </w:rPr>
        <w:t>acordar con el FMI pareciera ser la mejor alternativa ante no muchos cambios en el resto de los factores productivos donde la inflación y la continua devaluación se encuentran en valores límite</w:t>
      </w:r>
      <w:r w:rsidR="00080E0A" w:rsidRPr="00FE5001">
        <w:rPr>
          <w:rFonts w:ascii="Times New Roman" w:hAnsi="Times New Roman" w:cs="Times New Roman"/>
          <w:i/>
          <w:iCs/>
        </w:rPr>
        <w:t>.</w:t>
      </w:r>
      <w:r w:rsidR="00925DEC" w:rsidRPr="00FE5001">
        <w:rPr>
          <w:rFonts w:ascii="Times New Roman" w:hAnsi="Times New Roman" w:cs="Times New Roman"/>
          <w:i/>
          <w:iCs/>
        </w:rPr>
        <w:t xml:space="preserve"> </w:t>
      </w:r>
    </w:p>
    <w:p w14:paraId="7514D7FC" w14:textId="77777777" w:rsidR="00B0678E" w:rsidRPr="00FE5001" w:rsidRDefault="00B0678E" w:rsidP="00FE5001">
      <w:pPr>
        <w:spacing w:after="0" w:line="240" w:lineRule="auto"/>
        <w:jc w:val="both"/>
        <w:rPr>
          <w:rFonts w:ascii="Times New Roman" w:hAnsi="Times New Roman" w:cs="Times New Roman"/>
          <w:i/>
          <w:iCs/>
        </w:rPr>
      </w:pPr>
    </w:p>
    <w:p w14:paraId="68BCB74A" w14:textId="63BDC787" w:rsidR="000440C6" w:rsidRPr="00FE5001" w:rsidRDefault="000440C6" w:rsidP="00FE5001">
      <w:pPr>
        <w:spacing w:after="0" w:line="240" w:lineRule="auto"/>
        <w:jc w:val="both"/>
        <w:rPr>
          <w:rFonts w:ascii="Times New Roman" w:hAnsi="Times New Roman" w:cs="Times New Roman"/>
          <w:i/>
          <w:iCs/>
        </w:rPr>
      </w:pPr>
      <w:r w:rsidRPr="00FE5001">
        <w:rPr>
          <w:rFonts w:ascii="Times New Roman" w:hAnsi="Times New Roman" w:cs="Times New Roman"/>
          <w:i/>
          <w:iCs/>
        </w:rPr>
        <w:t>Por un lado</w:t>
      </w:r>
      <w:r w:rsidR="00B240E6" w:rsidRPr="00FE5001">
        <w:rPr>
          <w:rFonts w:ascii="Times New Roman" w:hAnsi="Times New Roman" w:cs="Times New Roman"/>
          <w:i/>
          <w:iCs/>
        </w:rPr>
        <w:t>,</w:t>
      </w:r>
      <w:r w:rsidRPr="00FE5001">
        <w:rPr>
          <w:rFonts w:ascii="Times New Roman" w:hAnsi="Times New Roman" w:cs="Times New Roman"/>
          <w:i/>
          <w:iCs/>
        </w:rPr>
        <w:t xml:space="preserve"> </w:t>
      </w:r>
      <w:r w:rsidR="00B240E6" w:rsidRPr="00FE5001">
        <w:rPr>
          <w:rFonts w:ascii="Times New Roman" w:hAnsi="Times New Roman" w:cs="Times New Roman"/>
          <w:i/>
          <w:iCs/>
        </w:rPr>
        <w:t xml:space="preserve">en </w:t>
      </w:r>
      <w:r w:rsidRPr="00FE5001">
        <w:rPr>
          <w:rFonts w:ascii="Times New Roman" w:hAnsi="Times New Roman" w:cs="Times New Roman"/>
          <w:i/>
          <w:iCs/>
        </w:rPr>
        <w:t>los negocios presenciales de entretenimientos</w:t>
      </w:r>
      <w:r w:rsidR="00B240E6" w:rsidRPr="00FE5001">
        <w:rPr>
          <w:rFonts w:ascii="Times New Roman" w:hAnsi="Times New Roman" w:cs="Times New Roman"/>
          <w:i/>
          <w:iCs/>
        </w:rPr>
        <w:t xml:space="preserve"> de Boldt (</w:t>
      </w:r>
      <w:proofErr w:type="spellStart"/>
      <w:r w:rsidR="00B240E6" w:rsidRPr="00FE5001">
        <w:rPr>
          <w:rFonts w:ascii="Times New Roman" w:hAnsi="Times New Roman" w:cs="Times New Roman"/>
          <w:i/>
          <w:iCs/>
        </w:rPr>
        <w:t>land</w:t>
      </w:r>
      <w:proofErr w:type="spellEnd"/>
      <w:r w:rsidR="00B240E6" w:rsidRPr="00FE5001">
        <w:rPr>
          <w:rFonts w:ascii="Times New Roman" w:hAnsi="Times New Roman" w:cs="Times New Roman"/>
          <w:i/>
          <w:iCs/>
        </w:rPr>
        <w:t xml:space="preserve"> </w:t>
      </w:r>
      <w:proofErr w:type="spellStart"/>
      <w:r w:rsidR="00B240E6" w:rsidRPr="00FE5001">
        <w:rPr>
          <w:rFonts w:ascii="Times New Roman" w:hAnsi="Times New Roman" w:cs="Times New Roman"/>
          <w:i/>
          <w:iCs/>
        </w:rPr>
        <w:t>based</w:t>
      </w:r>
      <w:proofErr w:type="spellEnd"/>
      <w:r w:rsidR="00B240E6" w:rsidRPr="00FE5001">
        <w:rPr>
          <w:rFonts w:ascii="Times New Roman" w:hAnsi="Times New Roman" w:cs="Times New Roman"/>
          <w:i/>
          <w:iCs/>
        </w:rPr>
        <w:t>)</w:t>
      </w:r>
      <w:r w:rsidRPr="00FE5001">
        <w:rPr>
          <w:rFonts w:ascii="Times New Roman" w:hAnsi="Times New Roman" w:cs="Times New Roman"/>
          <w:i/>
          <w:iCs/>
        </w:rPr>
        <w:t xml:space="preserve"> los </w:t>
      </w:r>
      <w:r w:rsidR="00B240E6" w:rsidRPr="00FE5001">
        <w:rPr>
          <w:rFonts w:ascii="Times New Roman" w:hAnsi="Times New Roman" w:cs="Times New Roman"/>
          <w:i/>
          <w:iCs/>
        </w:rPr>
        <w:t xml:space="preserve">procesos de </w:t>
      </w:r>
      <w:r w:rsidRPr="00FE5001">
        <w:rPr>
          <w:rFonts w:ascii="Times New Roman" w:hAnsi="Times New Roman" w:cs="Times New Roman"/>
          <w:i/>
          <w:iCs/>
        </w:rPr>
        <w:t xml:space="preserve">cierre y reaperturas con diferentes niveles de aforos </w:t>
      </w:r>
      <w:r w:rsidR="00B240E6" w:rsidRPr="00FE5001">
        <w:rPr>
          <w:rFonts w:ascii="Times New Roman" w:hAnsi="Times New Roman" w:cs="Times New Roman"/>
          <w:i/>
          <w:iCs/>
        </w:rPr>
        <w:t xml:space="preserve">han generado impacto en los ingresos, </w:t>
      </w:r>
      <w:r w:rsidRPr="00FE5001">
        <w:rPr>
          <w:rFonts w:ascii="Times New Roman" w:hAnsi="Times New Roman" w:cs="Times New Roman"/>
          <w:i/>
          <w:iCs/>
        </w:rPr>
        <w:t xml:space="preserve">pero </w:t>
      </w:r>
      <w:r w:rsidR="00FB4996" w:rsidRPr="00FE5001">
        <w:rPr>
          <w:rFonts w:ascii="Times New Roman" w:hAnsi="Times New Roman" w:cs="Times New Roman"/>
          <w:i/>
          <w:iCs/>
        </w:rPr>
        <w:t xml:space="preserve">el surgimiento </w:t>
      </w:r>
      <w:r w:rsidRPr="00FE5001">
        <w:rPr>
          <w:rFonts w:ascii="Times New Roman" w:hAnsi="Times New Roman" w:cs="Times New Roman"/>
          <w:i/>
          <w:iCs/>
        </w:rPr>
        <w:t xml:space="preserve">del </w:t>
      </w:r>
      <w:r w:rsidR="00FB4996" w:rsidRPr="00FE5001">
        <w:rPr>
          <w:rFonts w:ascii="Times New Roman" w:hAnsi="Times New Roman" w:cs="Times New Roman"/>
          <w:i/>
          <w:iCs/>
        </w:rPr>
        <w:t xml:space="preserve">negocio de </w:t>
      </w:r>
      <w:r w:rsidRPr="00FE5001">
        <w:rPr>
          <w:rFonts w:ascii="Times New Roman" w:hAnsi="Times New Roman" w:cs="Times New Roman"/>
          <w:i/>
          <w:iCs/>
        </w:rPr>
        <w:t xml:space="preserve">juego </w:t>
      </w:r>
      <w:proofErr w:type="spellStart"/>
      <w:r w:rsidRPr="00FE5001">
        <w:rPr>
          <w:rFonts w:ascii="Times New Roman" w:hAnsi="Times New Roman" w:cs="Times New Roman"/>
          <w:i/>
          <w:iCs/>
        </w:rPr>
        <w:t>on</w:t>
      </w:r>
      <w:proofErr w:type="spellEnd"/>
      <w:r w:rsidRPr="00FE5001">
        <w:rPr>
          <w:rFonts w:ascii="Times New Roman" w:hAnsi="Times New Roman" w:cs="Times New Roman"/>
          <w:i/>
          <w:iCs/>
        </w:rPr>
        <w:t xml:space="preserve"> line se </w:t>
      </w:r>
      <w:r w:rsidR="00FB4996" w:rsidRPr="00FE5001">
        <w:rPr>
          <w:rFonts w:ascii="Times New Roman" w:hAnsi="Times New Roman" w:cs="Times New Roman"/>
          <w:i/>
          <w:iCs/>
        </w:rPr>
        <w:t xml:space="preserve">ha </w:t>
      </w:r>
      <w:r w:rsidRPr="00FE5001">
        <w:rPr>
          <w:rFonts w:ascii="Times New Roman" w:hAnsi="Times New Roman" w:cs="Times New Roman"/>
          <w:i/>
          <w:iCs/>
        </w:rPr>
        <w:t>adelanta</w:t>
      </w:r>
      <w:r w:rsidR="00FB4996" w:rsidRPr="00FE5001">
        <w:rPr>
          <w:rFonts w:ascii="Times New Roman" w:hAnsi="Times New Roman" w:cs="Times New Roman"/>
          <w:i/>
          <w:iCs/>
        </w:rPr>
        <w:t>do</w:t>
      </w:r>
      <w:r w:rsidRPr="00FE5001">
        <w:rPr>
          <w:rFonts w:ascii="Times New Roman" w:hAnsi="Times New Roman" w:cs="Times New Roman"/>
          <w:i/>
          <w:iCs/>
        </w:rPr>
        <w:t xml:space="preserve"> a los hechos </w:t>
      </w:r>
      <w:r w:rsidR="00FB4996" w:rsidRPr="00FE5001">
        <w:rPr>
          <w:rFonts w:ascii="Times New Roman" w:hAnsi="Times New Roman" w:cs="Times New Roman"/>
          <w:i/>
          <w:iCs/>
        </w:rPr>
        <w:t>logrando</w:t>
      </w:r>
      <w:r w:rsidRPr="00FE5001">
        <w:rPr>
          <w:rFonts w:ascii="Times New Roman" w:hAnsi="Times New Roman" w:cs="Times New Roman"/>
          <w:i/>
          <w:iCs/>
        </w:rPr>
        <w:t xml:space="preserve"> independiza</w:t>
      </w:r>
      <w:r w:rsidR="00FB4996" w:rsidRPr="00FE5001">
        <w:rPr>
          <w:rFonts w:ascii="Times New Roman" w:hAnsi="Times New Roman" w:cs="Times New Roman"/>
          <w:i/>
          <w:iCs/>
        </w:rPr>
        <w:t>r la actividad</w:t>
      </w:r>
      <w:r w:rsidRPr="00FE5001">
        <w:rPr>
          <w:rFonts w:ascii="Times New Roman" w:hAnsi="Times New Roman" w:cs="Times New Roman"/>
          <w:i/>
          <w:iCs/>
        </w:rPr>
        <w:t xml:space="preserve"> de la presencialidad</w:t>
      </w:r>
      <w:r w:rsidR="00FB4996" w:rsidRPr="00FE5001">
        <w:rPr>
          <w:rFonts w:ascii="Times New Roman" w:hAnsi="Times New Roman" w:cs="Times New Roman"/>
          <w:i/>
          <w:iCs/>
        </w:rPr>
        <w:t>.</w:t>
      </w:r>
      <w:r w:rsidRPr="00FE5001">
        <w:rPr>
          <w:rFonts w:ascii="Times New Roman" w:hAnsi="Times New Roman" w:cs="Times New Roman"/>
          <w:i/>
          <w:iCs/>
        </w:rPr>
        <w:t xml:space="preserve"> </w:t>
      </w:r>
      <w:r w:rsidR="00FB4996" w:rsidRPr="00FE5001">
        <w:rPr>
          <w:rFonts w:ascii="Times New Roman" w:hAnsi="Times New Roman" w:cs="Times New Roman"/>
          <w:i/>
          <w:iCs/>
        </w:rPr>
        <w:t>E</w:t>
      </w:r>
      <w:r w:rsidRPr="00FE5001">
        <w:rPr>
          <w:rFonts w:ascii="Times New Roman" w:hAnsi="Times New Roman" w:cs="Times New Roman"/>
          <w:i/>
          <w:iCs/>
        </w:rPr>
        <w:t xml:space="preserve">ntendemos </w:t>
      </w:r>
      <w:r w:rsidR="00FB4996" w:rsidRPr="00FE5001">
        <w:rPr>
          <w:rFonts w:ascii="Times New Roman" w:hAnsi="Times New Roman" w:cs="Times New Roman"/>
          <w:i/>
          <w:iCs/>
        </w:rPr>
        <w:t xml:space="preserve">que ello </w:t>
      </w:r>
      <w:r w:rsidRPr="00FE5001">
        <w:rPr>
          <w:rFonts w:ascii="Times New Roman" w:hAnsi="Times New Roman" w:cs="Times New Roman"/>
          <w:i/>
          <w:iCs/>
        </w:rPr>
        <w:t>generará la sinergia óptima para maximizar ambos negocios de cara a la si</w:t>
      </w:r>
      <w:r w:rsidR="00570721" w:rsidRPr="00FE5001">
        <w:rPr>
          <w:rFonts w:ascii="Times New Roman" w:hAnsi="Times New Roman" w:cs="Times New Roman"/>
          <w:i/>
          <w:iCs/>
        </w:rPr>
        <w:t>t</w:t>
      </w:r>
      <w:r w:rsidRPr="00FE5001">
        <w:rPr>
          <w:rFonts w:ascii="Times New Roman" w:hAnsi="Times New Roman" w:cs="Times New Roman"/>
          <w:i/>
          <w:iCs/>
        </w:rPr>
        <w:t xml:space="preserve">uación </w:t>
      </w:r>
      <w:r w:rsidR="00FB4996" w:rsidRPr="00FE5001">
        <w:rPr>
          <w:rFonts w:ascii="Times New Roman" w:hAnsi="Times New Roman" w:cs="Times New Roman"/>
          <w:i/>
          <w:iCs/>
        </w:rPr>
        <w:t xml:space="preserve">de </w:t>
      </w:r>
      <w:r w:rsidRPr="00FE5001">
        <w:rPr>
          <w:rFonts w:ascii="Times New Roman" w:hAnsi="Times New Roman" w:cs="Times New Roman"/>
          <w:i/>
          <w:iCs/>
        </w:rPr>
        <w:t xml:space="preserve">pandémica </w:t>
      </w:r>
      <w:r w:rsidR="00FB4996" w:rsidRPr="00FE5001">
        <w:rPr>
          <w:rFonts w:ascii="Times New Roman" w:hAnsi="Times New Roman" w:cs="Times New Roman"/>
          <w:i/>
          <w:iCs/>
        </w:rPr>
        <w:t xml:space="preserve">que </w:t>
      </w:r>
      <w:r w:rsidRPr="00FE5001">
        <w:rPr>
          <w:rFonts w:ascii="Times New Roman" w:hAnsi="Times New Roman" w:cs="Times New Roman"/>
          <w:i/>
          <w:iCs/>
        </w:rPr>
        <w:t>con sus picos y valles llegó para quedarse</w:t>
      </w:r>
      <w:r w:rsidR="009D2B85" w:rsidRPr="00C35966">
        <w:rPr>
          <w:rFonts w:ascii="Times New Roman" w:hAnsi="Times New Roman" w:cs="Times New Roman"/>
          <w:i/>
          <w:iCs/>
        </w:rPr>
        <w:t>, no sabemos bien por cuanto tiempo.</w:t>
      </w:r>
    </w:p>
    <w:p w14:paraId="4307AA26" w14:textId="77777777" w:rsidR="00B0678E" w:rsidRPr="00FE5001" w:rsidRDefault="00B0678E" w:rsidP="00FE5001">
      <w:pPr>
        <w:spacing w:after="0" w:line="240" w:lineRule="auto"/>
        <w:jc w:val="both"/>
        <w:rPr>
          <w:rFonts w:ascii="Times New Roman" w:hAnsi="Times New Roman" w:cs="Times New Roman"/>
          <w:i/>
          <w:iCs/>
        </w:rPr>
      </w:pPr>
    </w:p>
    <w:p w14:paraId="0DF53A5D" w14:textId="775E868C" w:rsidR="00FB4996" w:rsidRPr="00FE5001" w:rsidRDefault="00925DEC" w:rsidP="00FE5001">
      <w:pPr>
        <w:spacing w:after="0" w:line="240" w:lineRule="auto"/>
        <w:jc w:val="both"/>
        <w:rPr>
          <w:rFonts w:ascii="Times New Roman" w:hAnsi="Times New Roman" w:cs="Times New Roman"/>
          <w:i/>
          <w:iCs/>
        </w:rPr>
      </w:pPr>
      <w:r w:rsidRPr="00FE5001">
        <w:rPr>
          <w:rFonts w:ascii="Times New Roman" w:hAnsi="Times New Roman" w:cs="Times New Roman"/>
          <w:i/>
          <w:iCs/>
        </w:rPr>
        <w:t>Boldt</w:t>
      </w:r>
      <w:r w:rsidR="000440C6" w:rsidRPr="00FE5001">
        <w:rPr>
          <w:rFonts w:ascii="Times New Roman" w:hAnsi="Times New Roman" w:cs="Times New Roman"/>
          <w:i/>
          <w:iCs/>
        </w:rPr>
        <w:t xml:space="preserve"> </w:t>
      </w:r>
      <w:bookmarkStart w:id="16" w:name="_Hlk92394919"/>
      <w:r w:rsidR="00FB4996" w:rsidRPr="00FE5001">
        <w:rPr>
          <w:rFonts w:ascii="Times New Roman" w:hAnsi="Times New Roman" w:cs="Times New Roman"/>
          <w:i/>
          <w:iCs/>
        </w:rPr>
        <w:t>a través de las sociedades y uniones transitorias en las que participa</w:t>
      </w:r>
      <w:bookmarkEnd w:id="16"/>
      <w:r w:rsidR="00FB4996" w:rsidRPr="00FE5001">
        <w:rPr>
          <w:rFonts w:ascii="Times New Roman" w:hAnsi="Times New Roman" w:cs="Times New Roman"/>
          <w:i/>
          <w:iCs/>
        </w:rPr>
        <w:t xml:space="preserve"> </w:t>
      </w:r>
      <w:r w:rsidR="00D27D2C" w:rsidRPr="00FE5001">
        <w:rPr>
          <w:rFonts w:ascii="Times New Roman" w:hAnsi="Times New Roman" w:cs="Times New Roman"/>
          <w:i/>
          <w:iCs/>
        </w:rPr>
        <w:t xml:space="preserve">ha </w:t>
      </w:r>
      <w:r w:rsidR="00570721" w:rsidRPr="00FE5001">
        <w:rPr>
          <w:rFonts w:ascii="Times New Roman" w:hAnsi="Times New Roman" w:cs="Times New Roman"/>
          <w:i/>
          <w:iCs/>
        </w:rPr>
        <w:t xml:space="preserve">recibido </w:t>
      </w:r>
      <w:r w:rsidR="00FB4996" w:rsidRPr="00FE5001">
        <w:rPr>
          <w:rFonts w:ascii="Times New Roman" w:hAnsi="Times New Roman" w:cs="Times New Roman"/>
          <w:i/>
          <w:iCs/>
        </w:rPr>
        <w:t xml:space="preserve">permisos </w:t>
      </w:r>
      <w:r w:rsidR="00570721" w:rsidRPr="00FE5001">
        <w:rPr>
          <w:rFonts w:ascii="Times New Roman" w:hAnsi="Times New Roman" w:cs="Times New Roman"/>
          <w:i/>
          <w:iCs/>
        </w:rPr>
        <w:t xml:space="preserve">para operar </w:t>
      </w:r>
      <w:r w:rsidR="000440C6" w:rsidRPr="00FE5001">
        <w:rPr>
          <w:rFonts w:ascii="Times New Roman" w:hAnsi="Times New Roman" w:cs="Times New Roman"/>
          <w:i/>
          <w:iCs/>
        </w:rPr>
        <w:t>licencias</w:t>
      </w:r>
      <w:r w:rsidR="00D27D2C" w:rsidRPr="00FE5001">
        <w:rPr>
          <w:rFonts w:ascii="Times New Roman" w:hAnsi="Times New Roman" w:cs="Times New Roman"/>
          <w:i/>
          <w:iCs/>
        </w:rPr>
        <w:t xml:space="preserve"> en el juego </w:t>
      </w:r>
      <w:proofErr w:type="spellStart"/>
      <w:r w:rsidR="00D27D2C" w:rsidRPr="00FE5001">
        <w:rPr>
          <w:rFonts w:ascii="Times New Roman" w:hAnsi="Times New Roman" w:cs="Times New Roman"/>
          <w:i/>
          <w:iCs/>
        </w:rPr>
        <w:t>on</w:t>
      </w:r>
      <w:proofErr w:type="spellEnd"/>
      <w:r w:rsidR="00D27D2C" w:rsidRPr="00FE5001">
        <w:rPr>
          <w:rFonts w:ascii="Times New Roman" w:hAnsi="Times New Roman" w:cs="Times New Roman"/>
          <w:i/>
          <w:iCs/>
        </w:rPr>
        <w:t xml:space="preserve"> line</w:t>
      </w:r>
      <w:r w:rsidR="00FB4996" w:rsidRPr="00FE5001">
        <w:rPr>
          <w:rFonts w:ascii="Times New Roman" w:hAnsi="Times New Roman" w:cs="Times New Roman"/>
          <w:i/>
          <w:iCs/>
        </w:rPr>
        <w:t>,</w:t>
      </w:r>
      <w:r w:rsidR="00D27D2C" w:rsidRPr="00FE5001">
        <w:rPr>
          <w:rFonts w:ascii="Times New Roman" w:hAnsi="Times New Roman" w:cs="Times New Roman"/>
          <w:i/>
          <w:iCs/>
        </w:rPr>
        <w:t xml:space="preserve"> </w:t>
      </w:r>
      <w:r w:rsidR="00FB4996" w:rsidRPr="00FE5001">
        <w:rPr>
          <w:rFonts w:ascii="Times New Roman" w:hAnsi="Times New Roman" w:cs="Times New Roman"/>
          <w:i/>
          <w:iCs/>
        </w:rPr>
        <w:t xml:space="preserve">encontrándose a la fecha </w:t>
      </w:r>
      <w:r w:rsidR="00D27D2C" w:rsidRPr="00FE5001">
        <w:rPr>
          <w:rFonts w:ascii="Times New Roman" w:hAnsi="Times New Roman" w:cs="Times New Roman"/>
          <w:i/>
          <w:iCs/>
        </w:rPr>
        <w:t>activa ya en 4 jurisdicciones</w:t>
      </w:r>
      <w:r w:rsidR="00FB4996" w:rsidRPr="00FE5001">
        <w:rPr>
          <w:rFonts w:ascii="Times New Roman" w:hAnsi="Times New Roman" w:cs="Times New Roman"/>
          <w:i/>
          <w:iCs/>
        </w:rPr>
        <w:t>: Ciudad de Buenos Aires</w:t>
      </w:r>
      <w:r w:rsidR="00D27D2C" w:rsidRPr="00FE5001">
        <w:rPr>
          <w:rFonts w:ascii="Times New Roman" w:hAnsi="Times New Roman" w:cs="Times New Roman"/>
          <w:i/>
          <w:iCs/>
        </w:rPr>
        <w:t xml:space="preserve">, Provincia de Buenos Aires, </w:t>
      </w:r>
      <w:r w:rsidR="00FB4996" w:rsidRPr="00FE5001">
        <w:rPr>
          <w:rFonts w:ascii="Times New Roman" w:hAnsi="Times New Roman" w:cs="Times New Roman"/>
          <w:i/>
          <w:iCs/>
        </w:rPr>
        <w:t xml:space="preserve">Provincia de </w:t>
      </w:r>
      <w:r w:rsidR="00D27D2C" w:rsidRPr="00FE5001">
        <w:rPr>
          <w:rFonts w:ascii="Times New Roman" w:hAnsi="Times New Roman" w:cs="Times New Roman"/>
          <w:i/>
          <w:iCs/>
        </w:rPr>
        <w:t xml:space="preserve">Santa Fe y </w:t>
      </w:r>
      <w:r w:rsidR="00FB4996" w:rsidRPr="00FE5001">
        <w:rPr>
          <w:rFonts w:ascii="Times New Roman" w:hAnsi="Times New Roman" w:cs="Times New Roman"/>
          <w:i/>
          <w:iCs/>
        </w:rPr>
        <w:t xml:space="preserve">República del </w:t>
      </w:r>
      <w:r w:rsidR="00D27D2C" w:rsidRPr="00FE5001">
        <w:rPr>
          <w:rFonts w:ascii="Times New Roman" w:hAnsi="Times New Roman" w:cs="Times New Roman"/>
          <w:i/>
          <w:iCs/>
        </w:rPr>
        <w:t>Paraguay</w:t>
      </w:r>
      <w:r w:rsidR="00FB4996" w:rsidRPr="00FE5001">
        <w:rPr>
          <w:rFonts w:ascii="Times New Roman" w:hAnsi="Times New Roman" w:cs="Times New Roman"/>
          <w:i/>
          <w:iCs/>
        </w:rPr>
        <w:t>. Para su promoción</w:t>
      </w:r>
      <w:r w:rsidR="00D27D2C" w:rsidRPr="00FE5001">
        <w:rPr>
          <w:rFonts w:ascii="Times New Roman" w:hAnsi="Times New Roman" w:cs="Times New Roman"/>
          <w:i/>
          <w:iCs/>
        </w:rPr>
        <w:t xml:space="preserve"> </w:t>
      </w:r>
      <w:r w:rsidR="00570721" w:rsidRPr="00FE5001">
        <w:rPr>
          <w:rFonts w:ascii="Times New Roman" w:hAnsi="Times New Roman" w:cs="Times New Roman"/>
          <w:i/>
          <w:iCs/>
        </w:rPr>
        <w:t>se está</w:t>
      </w:r>
      <w:r w:rsidR="00FB4996" w:rsidRPr="00FE5001">
        <w:rPr>
          <w:rFonts w:ascii="Times New Roman" w:hAnsi="Times New Roman" w:cs="Times New Roman"/>
          <w:i/>
          <w:iCs/>
        </w:rPr>
        <w:t xml:space="preserve"> invirtiendo en </w:t>
      </w:r>
      <w:r w:rsidR="00570721" w:rsidRPr="00FE5001">
        <w:rPr>
          <w:rFonts w:ascii="Times New Roman" w:hAnsi="Times New Roman" w:cs="Times New Roman"/>
          <w:i/>
          <w:iCs/>
        </w:rPr>
        <w:t xml:space="preserve">fuertes campañas de marketing para dar a conocer la marca </w:t>
      </w:r>
      <w:proofErr w:type="spellStart"/>
      <w:r w:rsidR="00570721" w:rsidRPr="00FE5001">
        <w:rPr>
          <w:rFonts w:ascii="Times New Roman" w:hAnsi="Times New Roman" w:cs="Times New Roman"/>
          <w:i/>
          <w:iCs/>
        </w:rPr>
        <w:t>bplay</w:t>
      </w:r>
      <w:proofErr w:type="spellEnd"/>
      <w:r w:rsidR="00570721" w:rsidRPr="00FE5001">
        <w:rPr>
          <w:rFonts w:ascii="Times New Roman" w:hAnsi="Times New Roman" w:cs="Times New Roman"/>
          <w:i/>
          <w:iCs/>
        </w:rPr>
        <w:t xml:space="preserve">. </w:t>
      </w:r>
    </w:p>
    <w:p w14:paraId="1C373434" w14:textId="77777777" w:rsidR="00B0678E" w:rsidRPr="00FE5001" w:rsidRDefault="00B0678E" w:rsidP="008E7002">
      <w:pPr>
        <w:spacing w:after="0" w:line="240" w:lineRule="auto"/>
        <w:jc w:val="both"/>
        <w:rPr>
          <w:rFonts w:ascii="Times New Roman" w:hAnsi="Times New Roman" w:cs="Times New Roman"/>
          <w:i/>
          <w:iCs/>
        </w:rPr>
      </w:pPr>
    </w:p>
    <w:p w14:paraId="6FD29516" w14:textId="57EAAD9A" w:rsidR="0052597C" w:rsidRDefault="00FB4996">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Durante el </w:t>
      </w:r>
      <w:r w:rsidR="00570721" w:rsidRPr="00FE5001">
        <w:rPr>
          <w:rFonts w:ascii="Times New Roman" w:hAnsi="Times New Roman" w:cs="Times New Roman"/>
          <w:i/>
          <w:iCs/>
        </w:rPr>
        <w:t xml:space="preserve">mes de diciembre salimos en vivo en </w:t>
      </w:r>
      <w:r w:rsidRPr="00FE5001">
        <w:rPr>
          <w:rFonts w:ascii="Times New Roman" w:hAnsi="Times New Roman" w:cs="Times New Roman"/>
          <w:i/>
          <w:iCs/>
        </w:rPr>
        <w:t xml:space="preserve">Ciudad de Buenos Aires </w:t>
      </w:r>
      <w:r w:rsidR="00570721" w:rsidRPr="00FE5001">
        <w:rPr>
          <w:rFonts w:ascii="Times New Roman" w:hAnsi="Times New Roman" w:cs="Times New Roman"/>
          <w:i/>
          <w:iCs/>
        </w:rPr>
        <w:t xml:space="preserve">con </w:t>
      </w:r>
      <w:r w:rsidRPr="00FE5001">
        <w:rPr>
          <w:rFonts w:ascii="Times New Roman" w:hAnsi="Times New Roman" w:cs="Times New Roman"/>
          <w:i/>
          <w:iCs/>
        </w:rPr>
        <w:t xml:space="preserve">un </w:t>
      </w:r>
      <w:r w:rsidR="00570721" w:rsidRPr="00FE5001">
        <w:rPr>
          <w:rFonts w:ascii="Times New Roman" w:hAnsi="Times New Roman" w:cs="Times New Roman"/>
          <w:i/>
          <w:iCs/>
        </w:rPr>
        <w:t>excelente grado de opera</w:t>
      </w:r>
      <w:r w:rsidR="009D2B85">
        <w:rPr>
          <w:rFonts w:ascii="Times New Roman" w:hAnsi="Times New Roman" w:cs="Times New Roman"/>
          <w:i/>
          <w:iCs/>
        </w:rPr>
        <w:t xml:space="preserve">tividad del servicio </w:t>
      </w:r>
      <w:r w:rsidR="00570721" w:rsidRPr="00FE5001">
        <w:rPr>
          <w:rFonts w:ascii="Times New Roman" w:hAnsi="Times New Roman" w:cs="Times New Roman"/>
          <w:i/>
          <w:iCs/>
        </w:rPr>
        <w:t>y confiamos que cuando com</w:t>
      </w:r>
      <w:r w:rsidR="009D2B85">
        <w:rPr>
          <w:rFonts w:ascii="Times New Roman" w:hAnsi="Times New Roman" w:cs="Times New Roman"/>
          <w:i/>
          <w:iCs/>
        </w:rPr>
        <w:t xml:space="preserve">encemos </w:t>
      </w:r>
      <w:r w:rsidRPr="00FE5001">
        <w:rPr>
          <w:rFonts w:ascii="Times New Roman" w:hAnsi="Times New Roman" w:cs="Times New Roman"/>
          <w:i/>
          <w:iCs/>
        </w:rPr>
        <w:t xml:space="preserve">la actividad en la </w:t>
      </w:r>
      <w:r w:rsidR="00570721" w:rsidRPr="00FE5001">
        <w:rPr>
          <w:rFonts w:ascii="Times New Roman" w:hAnsi="Times New Roman" w:cs="Times New Roman"/>
          <w:i/>
          <w:iCs/>
        </w:rPr>
        <w:t>Provincia de Buenos Aires</w:t>
      </w:r>
      <w:r w:rsidR="0052597C" w:rsidRPr="00C35966">
        <w:rPr>
          <w:rFonts w:ascii="Times New Roman" w:hAnsi="Times New Roman" w:cs="Times New Roman"/>
          <w:i/>
          <w:iCs/>
        </w:rPr>
        <w:t xml:space="preserve">, una vez alineada la plataforma a las exigencias del IPLC y contar con las últimas actualizaciones tecnológicas, </w:t>
      </w:r>
      <w:r w:rsidRPr="00FE5001">
        <w:rPr>
          <w:rFonts w:ascii="Times New Roman" w:hAnsi="Times New Roman" w:cs="Times New Roman"/>
          <w:i/>
          <w:iCs/>
        </w:rPr>
        <w:t xml:space="preserve">estaremos </w:t>
      </w:r>
      <w:r w:rsidR="00570721" w:rsidRPr="00FE5001">
        <w:rPr>
          <w:rFonts w:ascii="Times New Roman" w:hAnsi="Times New Roman" w:cs="Times New Roman"/>
          <w:i/>
          <w:iCs/>
        </w:rPr>
        <w:t>preparados para</w:t>
      </w:r>
      <w:r w:rsidR="0052597C">
        <w:rPr>
          <w:rFonts w:ascii="Times New Roman" w:hAnsi="Times New Roman" w:cs="Times New Roman"/>
          <w:i/>
          <w:iCs/>
        </w:rPr>
        <w:t xml:space="preserve"> </w:t>
      </w:r>
      <w:r w:rsidR="0052597C" w:rsidRPr="00C35966">
        <w:rPr>
          <w:rFonts w:ascii="Times New Roman" w:hAnsi="Times New Roman" w:cs="Times New Roman"/>
          <w:i/>
          <w:iCs/>
        </w:rPr>
        <w:t>actuar en el mercado más grande de Argentina y de mayor competencia</w:t>
      </w:r>
      <w:r w:rsidRPr="00FE5001">
        <w:rPr>
          <w:rFonts w:ascii="Times New Roman" w:hAnsi="Times New Roman" w:cs="Times New Roman"/>
          <w:i/>
          <w:iCs/>
        </w:rPr>
        <w:t xml:space="preserve"> </w:t>
      </w:r>
      <w:r w:rsidR="00570721" w:rsidRPr="00FE5001">
        <w:rPr>
          <w:rFonts w:ascii="Times New Roman" w:hAnsi="Times New Roman" w:cs="Times New Roman"/>
          <w:i/>
          <w:iCs/>
        </w:rPr>
        <w:t xml:space="preserve">y creemos que con los niveles </w:t>
      </w:r>
      <w:r w:rsidRPr="00FE5001">
        <w:rPr>
          <w:rFonts w:ascii="Times New Roman" w:hAnsi="Times New Roman" w:cs="Times New Roman"/>
          <w:i/>
          <w:iCs/>
        </w:rPr>
        <w:t xml:space="preserve">de inversión en </w:t>
      </w:r>
      <w:r w:rsidR="00570721" w:rsidRPr="00FE5001">
        <w:rPr>
          <w:rFonts w:ascii="Times New Roman" w:hAnsi="Times New Roman" w:cs="Times New Roman"/>
          <w:i/>
          <w:iCs/>
        </w:rPr>
        <w:t xml:space="preserve">tecnología </w:t>
      </w:r>
      <w:r w:rsidRPr="00FE5001">
        <w:rPr>
          <w:rFonts w:ascii="Times New Roman" w:hAnsi="Times New Roman" w:cs="Times New Roman"/>
          <w:i/>
          <w:iCs/>
        </w:rPr>
        <w:t xml:space="preserve">realizado y los </w:t>
      </w:r>
      <w:r w:rsidR="00570721" w:rsidRPr="00FE5001">
        <w:rPr>
          <w:rFonts w:ascii="Times New Roman" w:hAnsi="Times New Roman" w:cs="Times New Roman"/>
          <w:i/>
          <w:iCs/>
        </w:rPr>
        <w:t xml:space="preserve">socios </w:t>
      </w:r>
      <w:r w:rsidRPr="00FE5001">
        <w:rPr>
          <w:rFonts w:ascii="Times New Roman" w:hAnsi="Times New Roman" w:cs="Times New Roman"/>
          <w:i/>
          <w:iCs/>
        </w:rPr>
        <w:t xml:space="preserve">estratégicos </w:t>
      </w:r>
      <w:r w:rsidR="00570721" w:rsidRPr="00FE5001">
        <w:rPr>
          <w:rFonts w:ascii="Times New Roman" w:hAnsi="Times New Roman" w:cs="Times New Roman"/>
          <w:i/>
          <w:iCs/>
        </w:rPr>
        <w:t xml:space="preserve">de </w:t>
      </w:r>
      <w:r w:rsidR="0052597C">
        <w:rPr>
          <w:rFonts w:ascii="Times New Roman" w:hAnsi="Times New Roman" w:cs="Times New Roman"/>
          <w:i/>
          <w:iCs/>
        </w:rPr>
        <w:t>primer nivel</w:t>
      </w:r>
      <w:r w:rsidR="00570721" w:rsidRPr="00FE5001">
        <w:rPr>
          <w:rFonts w:ascii="Times New Roman" w:hAnsi="Times New Roman" w:cs="Times New Roman"/>
          <w:i/>
          <w:iCs/>
        </w:rPr>
        <w:t xml:space="preserve"> </w:t>
      </w:r>
      <w:r w:rsidRPr="00FE5001">
        <w:rPr>
          <w:rFonts w:ascii="Times New Roman" w:hAnsi="Times New Roman" w:cs="Times New Roman"/>
          <w:i/>
          <w:iCs/>
        </w:rPr>
        <w:t xml:space="preserve">que </w:t>
      </w:r>
      <w:r w:rsidR="0052597C">
        <w:rPr>
          <w:rFonts w:ascii="Times New Roman" w:hAnsi="Times New Roman" w:cs="Times New Roman"/>
          <w:i/>
          <w:iCs/>
        </w:rPr>
        <w:t>nos acompañan</w:t>
      </w:r>
      <w:r w:rsidRPr="00FE5001">
        <w:rPr>
          <w:rFonts w:ascii="Times New Roman" w:hAnsi="Times New Roman" w:cs="Times New Roman"/>
          <w:i/>
          <w:iCs/>
        </w:rPr>
        <w:t xml:space="preserve"> </w:t>
      </w:r>
      <w:r w:rsidR="00570721" w:rsidRPr="00FE5001">
        <w:rPr>
          <w:rFonts w:ascii="Times New Roman" w:hAnsi="Times New Roman" w:cs="Times New Roman"/>
          <w:i/>
          <w:iCs/>
        </w:rPr>
        <w:t xml:space="preserve">estaremos en condiciones de </w:t>
      </w:r>
      <w:r w:rsidR="0052597C" w:rsidRPr="00C35966">
        <w:rPr>
          <w:rFonts w:ascii="Times New Roman" w:hAnsi="Times New Roman" w:cs="Times New Roman"/>
          <w:i/>
          <w:iCs/>
        </w:rPr>
        <w:t xml:space="preserve">captar una parte importante del mercado, sin descuidar la posibilidad de  </w:t>
      </w:r>
      <w:r w:rsidR="00570721" w:rsidRPr="00FE5001">
        <w:rPr>
          <w:rFonts w:ascii="Times New Roman" w:hAnsi="Times New Roman" w:cs="Times New Roman"/>
          <w:i/>
          <w:iCs/>
        </w:rPr>
        <w:t>seguir testeando nuevas oportunidades</w:t>
      </w:r>
      <w:r w:rsidR="0052597C">
        <w:rPr>
          <w:rFonts w:ascii="Times New Roman" w:hAnsi="Times New Roman" w:cs="Times New Roman"/>
          <w:i/>
          <w:iCs/>
        </w:rPr>
        <w:t>,</w:t>
      </w:r>
      <w:r w:rsidR="0052597C" w:rsidRPr="0052597C">
        <w:rPr>
          <w:rFonts w:ascii="Times New Roman" w:hAnsi="Times New Roman" w:cs="Times New Roman"/>
          <w:i/>
          <w:iCs/>
        </w:rPr>
        <w:t xml:space="preserve"> </w:t>
      </w:r>
      <w:r w:rsidR="0052597C" w:rsidRPr="00C35966">
        <w:rPr>
          <w:rFonts w:ascii="Times New Roman" w:hAnsi="Times New Roman" w:cs="Times New Roman"/>
          <w:i/>
          <w:iCs/>
        </w:rPr>
        <w:t>tanto  locales como en el exterior</w:t>
      </w:r>
      <w:r w:rsidR="00570721" w:rsidRPr="00FE5001">
        <w:rPr>
          <w:rFonts w:ascii="Times New Roman" w:hAnsi="Times New Roman" w:cs="Times New Roman"/>
          <w:i/>
          <w:iCs/>
        </w:rPr>
        <w:t>.</w:t>
      </w:r>
    </w:p>
    <w:p w14:paraId="7F9F5515" w14:textId="37F291DD" w:rsidR="00D27D2C" w:rsidRPr="00FE5001" w:rsidRDefault="00570721" w:rsidP="00FE5001">
      <w:pPr>
        <w:spacing w:after="0" w:line="240" w:lineRule="auto"/>
        <w:jc w:val="both"/>
        <w:rPr>
          <w:rFonts w:ascii="Times New Roman" w:hAnsi="Times New Roman" w:cs="Times New Roman"/>
          <w:i/>
          <w:iCs/>
        </w:rPr>
      </w:pPr>
      <w:r w:rsidRPr="00FE5001">
        <w:rPr>
          <w:rFonts w:ascii="Times New Roman" w:hAnsi="Times New Roman" w:cs="Times New Roman"/>
          <w:i/>
          <w:iCs/>
        </w:rPr>
        <w:lastRenderedPageBreak/>
        <w:t xml:space="preserve"> </w:t>
      </w:r>
    </w:p>
    <w:p w14:paraId="527FE174" w14:textId="6018A681" w:rsidR="0052597C" w:rsidRDefault="00FB4996">
      <w:pPr>
        <w:spacing w:after="0" w:line="240" w:lineRule="auto"/>
        <w:jc w:val="both"/>
        <w:rPr>
          <w:rFonts w:ascii="Times New Roman" w:hAnsi="Times New Roman" w:cs="Times New Roman"/>
          <w:i/>
          <w:iCs/>
        </w:rPr>
      </w:pPr>
      <w:r w:rsidRPr="00FE5001">
        <w:rPr>
          <w:rFonts w:ascii="Times New Roman" w:hAnsi="Times New Roman" w:cs="Times New Roman"/>
          <w:i/>
          <w:iCs/>
        </w:rPr>
        <w:t>Por su parte</w:t>
      </w:r>
      <w:r w:rsidR="0052597C">
        <w:rPr>
          <w:rFonts w:ascii="Times New Roman" w:hAnsi="Times New Roman" w:cs="Times New Roman"/>
          <w:i/>
          <w:iCs/>
        </w:rPr>
        <w:t xml:space="preserve"> d</w:t>
      </w:r>
      <w:r w:rsidR="00925DEC" w:rsidRPr="00FE5001">
        <w:rPr>
          <w:rFonts w:ascii="Times New Roman" w:hAnsi="Times New Roman" w:cs="Times New Roman"/>
          <w:i/>
          <w:iCs/>
        </w:rPr>
        <w:t xml:space="preserve">esde Boldt Vial </w:t>
      </w:r>
      <w:r w:rsidR="00BB27E0" w:rsidRPr="00FE5001">
        <w:rPr>
          <w:rFonts w:ascii="Times New Roman" w:hAnsi="Times New Roman" w:cs="Times New Roman"/>
          <w:i/>
          <w:iCs/>
        </w:rPr>
        <w:t>se sigue</w:t>
      </w:r>
      <w:bookmarkStart w:id="17" w:name="_Hlk92395069"/>
      <w:r w:rsidRPr="00FE5001">
        <w:rPr>
          <w:rFonts w:ascii="Times New Roman" w:hAnsi="Times New Roman" w:cs="Times New Roman"/>
          <w:i/>
          <w:iCs/>
        </w:rPr>
        <w:t xml:space="preserve">n desarrollando las operaciones en </w:t>
      </w:r>
      <w:bookmarkEnd w:id="17"/>
      <w:r w:rsidR="00BB27E0" w:rsidRPr="00FE5001">
        <w:rPr>
          <w:rFonts w:ascii="Times New Roman" w:hAnsi="Times New Roman" w:cs="Times New Roman"/>
          <w:i/>
          <w:iCs/>
        </w:rPr>
        <w:t>C</w:t>
      </w:r>
      <w:r w:rsidRPr="00FE5001">
        <w:rPr>
          <w:rFonts w:ascii="Times New Roman" w:hAnsi="Times New Roman" w:cs="Times New Roman"/>
          <w:i/>
          <w:iCs/>
        </w:rPr>
        <w:t>iudad de Buenos Aires</w:t>
      </w:r>
      <w:r w:rsidR="00BB27E0" w:rsidRPr="00FE5001">
        <w:rPr>
          <w:rFonts w:ascii="Times New Roman" w:hAnsi="Times New Roman" w:cs="Times New Roman"/>
          <w:i/>
          <w:iCs/>
        </w:rPr>
        <w:t>,</w:t>
      </w:r>
      <w:r w:rsidRPr="00FE5001">
        <w:rPr>
          <w:rFonts w:ascii="Times New Roman" w:hAnsi="Times New Roman" w:cs="Times New Roman"/>
          <w:i/>
          <w:iCs/>
        </w:rPr>
        <w:t xml:space="preserve"> </w:t>
      </w:r>
      <w:bookmarkStart w:id="18" w:name="_Hlk92395155"/>
      <w:r w:rsidRPr="00FE5001">
        <w:rPr>
          <w:rFonts w:ascii="Times New Roman" w:hAnsi="Times New Roman" w:cs="Times New Roman"/>
          <w:i/>
          <w:iCs/>
        </w:rPr>
        <w:t>así como las correspondientes a la</w:t>
      </w:r>
      <w:r w:rsidR="00BB27E0" w:rsidRPr="00FE5001">
        <w:rPr>
          <w:rFonts w:ascii="Times New Roman" w:hAnsi="Times New Roman" w:cs="Times New Roman"/>
          <w:i/>
          <w:iCs/>
        </w:rPr>
        <w:t xml:space="preserve"> </w:t>
      </w:r>
      <w:bookmarkEnd w:id="18"/>
      <w:r w:rsidR="00BB27E0" w:rsidRPr="00FE5001">
        <w:rPr>
          <w:rFonts w:ascii="Times New Roman" w:hAnsi="Times New Roman" w:cs="Times New Roman"/>
          <w:i/>
          <w:iCs/>
        </w:rPr>
        <w:t xml:space="preserve">Agencia Nacional de Seguridad Vial y Municipalidad de Escobar </w:t>
      </w:r>
      <w:bookmarkStart w:id="19" w:name="_Hlk92395174"/>
      <w:r w:rsidRPr="00FE5001">
        <w:rPr>
          <w:rFonts w:ascii="Times New Roman" w:hAnsi="Times New Roman" w:cs="Times New Roman"/>
          <w:i/>
          <w:iCs/>
        </w:rPr>
        <w:t>y se sigue</w:t>
      </w:r>
      <w:r w:rsidR="0052351D" w:rsidRPr="00FE5001">
        <w:rPr>
          <w:rFonts w:ascii="Times New Roman" w:hAnsi="Times New Roman" w:cs="Times New Roman"/>
          <w:i/>
          <w:iCs/>
        </w:rPr>
        <w:t>n</w:t>
      </w:r>
      <w:r w:rsidRPr="00FE5001">
        <w:rPr>
          <w:rFonts w:ascii="Times New Roman" w:hAnsi="Times New Roman" w:cs="Times New Roman"/>
          <w:i/>
          <w:iCs/>
        </w:rPr>
        <w:t xml:space="preserve"> </w:t>
      </w:r>
      <w:r w:rsidR="0052351D" w:rsidRPr="00FE5001">
        <w:rPr>
          <w:rFonts w:ascii="Times New Roman" w:hAnsi="Times New Roman" w:cs="Times New Roman"/>
          <w:i/>
          <w:iCs/>
        </w:rPr>
        <w:t xml:space="preserve">analizando </w:t>
      </w:r>
      <w:r w:rsidRPr="00FE5001">
        <w:rPr>
          <w:rFonts w:ascii="Times New Roman" w:hAnsi="Times New Roman" w:cs="Times New Roman"/>
          <w:i/>
          <w:iCs/>
        </w:rPr>
        <w:t xml:space="preserve">nuevos prospectos de negocios </w:t>
      </w:r>
      <w:bookmarkEnd w:id="19"/>
      <w:r w:rsidR="00BB27E0" w:rsidRPr="00FE5001">
        <w:rPr>
          <w:rFonts w:ascii="Times New Roman" w:hAnsi="Times New Roman" w:cs="Times New Roman"/>
          <w:i/>
          <w:iCs/>
        </w:rPr>
        <w:t>a nivel regional</w:t>
      </w:r>
      <w:r w:rsidR="0052597C">
        <w:rPr>
          <w:rFonts w:ascii="Times New Roman" w:hAnsi="Times New Roman" w:cs="Times New Roman"/>
          <w:i/>
          <w:iCs/>
        </w:rPr>
        <w:t xml:space="preserve"> </w:t>
      </w:r>
      <w:r w:rsidR="0052597C" w:rsidRPr="00C35966">
        <w:rPr>
          <w:rFonts w:ascii="Times New Roman" w:hAnsi="Times New Roman" w:cs="Times New Roman"/>
          <w:i/>
          <w:iCs/>
        </w:rPr>
        <w:t>Entendemos que este es un negocio que va a tener un gran crecimiento en los próximos 5 años y estamos preparados para ser un jugador importante en este contexto</w:t>
      </w:r>
      <w:r w:rsidR="00BB27E0" w:rsidRPr="00FE5001">
        <w:rPr>
          <w:rFonts w:ascii="Times New Roman" w:hAnsi="Times New Roman" w:cs="Times New Roman"/>
          <w:i/>
          <w:iCs/>
        </w:rPr>
        <w:t xml:space="preserve">. </w:t>
      </w:r>
    </w:p>
    <w:p w14:paraId="37E7EF2F" w14:textId="77777777" w:rsidR="0052597C" w:rsidRDefault="0052597C">
      <w:pPr>
        <w:spacing w:after="0" w:line="240" w:lineRule="auto"/>
        <w:jc w:val="both"/>
        <w:rPr>
          <w:rFonts w:ascii="Times New Roman" w:hAnsi="Times New Roman" w:cs="Times New Roman"/>
          <w:i/>
          <w:iCs/>
        </w:rPr>
      </w:pPr>
    </w:p>
    <w:p w14:paraId="41F814AE" w14:textId="2D16B7BC" w:rsidR="0052597C" w:rsidRDefault="00925DEC">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Los nuevos negocios de Telecomunicaciones continúan desarrollándose, tanto </w:t>
      </w:r>
      <w:proofErr w:type="spellStart"/>
      <w:r w:rsidRPr="00FE5001">
        <w:rPr>
          <w:rFonts w:ascii="Times New Roman" w:hAnsi="Times New Roman" w:cs="Times New Roman"/>
          <w:i/>
          <w:iCs/>
        </w:rPr>
        <w:t>Orbith</w:t>
      </w:r>
      <w:proofErr w:type="spellEnd"/>
      <w:r w:rsidRPr="00FE5001">
        <w:rPr>
          <w:rFonts w:ascii="Times New Roman" w:hAnsi="Times New Roman" w:cs="Times New Roman"/>
          <w:i/>
          <w:iCs/>
        </w:rPr>
        <w:t xml:space="preserve"> con internet satelital </w:t>
      </w:r>
      <w:r w:rsidR="0052351D" w:rsidRPr="00FE5001">
        <w:rPr>
          <w:rFonts w:ascii="Times New Roman" w:hAnsi="Times New Roman" w:cs="Times New Roman"/>
          <w:i/>
          <w:iCs/>
        </w:rPr>
        <w:t>-</w:t>
      </w:r>
      <w:r w:rsidRPr="00FE5001">
        <w:rPr>
          <w:rFonts w:ascii="Times New Roman" w:hAnsi="Times New Roman" w:cs="Times New Roman"/>
          <w:i/>
          <w:iCs/>
        </w:rPr>
        <w:t>que está en su fase de consolidación</w:t>
      </w:r>
      <w:r w:rsidR="0052597C">
        <w:rPr>
          <w:rFonts w:ascii="Times New Roman" w:hAnsi="Times New Roman" w:cs="Times New Roman"/>
          <w:i/>
          <w:iCs/>
        </w:rPr>
        <w:t xml:space="preserve"> </w:t>
      </w:r>
      <w:r w:rsidR="0052597C" w:rsidRPr="00C35966">
        <w:rPr>
          <w:rFonts w:ascii="Times New Roman" w:hAnsi="Times New Roman" w:cs="Times New Roman"/>
          <w:i/>
          <w:iCs/>
        </w:rPr>
        <w:t xml:space="preserve">y con posibilidades de crecimiento de la mano de </w:t>
      </w:r>
      <w:proofErr w:type="spellStart"/>
      <w:r w:rsidR="0052597C" w:rsidRPr="00C35966">
        <w:rPr>
          <w:rFonts w:ascii="Times New Roman" w:hAnsi="Times New Roman" w:cs="Times New Roman"/>
          <w:i/>
          <w:iCs/>
        </w:rPr>
        <w:t>Arsat</w:t>
      </w:r>
      <w:proofErr w:type="spellEnd"/>
      <w:r w:rsidR="0052597C" w:rsidRPr="00C35966">
        <w:rPr>
          <w:rFonts w:ascii="Times New Roman" w:hAnsi="Times New Roman" w:cs="Times New Roman"/>
          <w:i/>
          <w:iCs/>
        </w:rPr>
        <w:t xml:space="preserve"> en los próximos años</w:t>
      </w:r>
      <w:r w:rsidRPr="00FE5001">
        <w:rPr>
          <w:rFonts w:ascii="Times New Roman" w:hAnsi="Times New Roman" w:cs="Times New Roman"/>
          <w:i/>
          <w:iCs/>
        </w:rPr>
        <w:t xml:space="preserve"> y SPTI con </w:t>
      </w:r>
      <w:r w:rsidR="0052597C">
        <w:rPr>
          <w:rFonts w:ascii="Times New Roman" w:hAnsi="Times New Roman" w:cs="Times New Roman"/>
          <w:i/>
          <w:iCs/>
        </w:rPr>
        <w:t xml:space="preserve">su </w:t>
      </w:r>
      <w:r w:rsidRPr="00FE5001">
        <w:rPr>
          <w:rFonts w:ascii="Times New Roman" w:hAnsi="Times New Roman" w:cs="Times New Roman"/>
          <w:i/>
          <w:iCs/>
        </w:rPr>
        <w:t xml:space="preserve">desarrollo incipiente en fibra óptica de hogares a través de su marca </w:t>
      </w:r>
      <w:proofErr w:type="spellStart"/>
      <w:r w:rsidRPr="00FE5001">
        <w:rPr>
          <w:rFonts w:ascii="Times New Roman" w:hAnsi="Times New Roman" w:cs="Times New Roman"/>
          <w:i/>
          <w:iCs/>
        </w:rPr>
        <w:t>Intertfy</w:t>
      </w:r>
      <w:proofErr w:type="spellEnd"/>
      <w:r w:rsidR="00372DDA" w:rsidRPr="00FE5001">
        <w:rPr>
          <w:rFonts w:ascii="Times New Roman" w:hAnsi="Times New Roman" w:cs="Times New Roman"/>
          <w:i/>
          <w:iCs/>
        </w:rPr>
        <w:t xml:space="preserve">. </w:t>
      </w:r>
    </w:p>
    <w:p w14:paraId="558B95DC" w14:textId="77777777" w:rsidR="0052597C" w:rsidRDefault="0052597C">
      <w:pPr>
        <w:spacing w:after="0" w:line="240" w:lineRule="auto"/>
        <w:jc w:val="both"/>
        <w:rPr>
          <w:rFonts w:ascii="Times New Roman" w:hAnsi="Times New Roman" w:cs="Times New Roman"/>
          <w:i/>
          <w:iCs/>
        </w:rPr>
      </w:pPr>
    </w:p>
    <w:p w14:paraId="29031659" w14:textId="2CB87A75" w:rsidR="00925DEC" w:rsidRPr="00FE5001" w:rsidRDefault="00372DDA" w:rsidP="00FE5001">
      <w:pPr>
        <w:spacing w:after="0" w:line="240" w:lineRule="auto"/>
        <w:jc w:val="both"/>
        <w:rPr>
          <w:rFonts w:ascii="Times New Roman" w:hAnsi="Times New Roman" w:cs="Times New Roman"/>
          <w:i/>
          <w:iCs/>
        </w:rPr>
      </w:pPr>
      <w:r w:rsidRPr="00FE5001">
        <w:rPr>
          <w:rFonts w:ascii="Times New Roman" w:hAnsi="Times New Roman" w:cs="Times New Roman"/>
          <w:i/>
          <w:iCs/>
        </w:rPr>
        <w:t>La marca WEIGO para las iniciativas digitales est</w:t>
      </w:r>
      <w:r w:rsidR="0052351D" w:rsidRPr="00FE5001">
        <w:rPr>
          <w:rFonts w:ascii="Times New Roman" w:hAnsi="Times New Roman" w:cs="Times New Roman"/>
          <w:i/>
          <w:iCs/>
        </w:rPr>
        <w:t>á</w:t>
      </w:r>
      <w:r w:rsidRPr="00FE5001">
        <w:rPr>
          <w:rFonts w:ascii="Times New Roman" w:hAnsi="Times New Roman" w:cs="Times New Roman"/>
          <w:i/>
          <w:iCs/>
        </w:rPr>
        <w:t xml:space="preserve"> avanzando y ya opera en los negocios de Arcos Dorados y Puma vislumbrándose nuevos prospectos que aspiran a ingresar a nuestra plataforma también.</w:t>
      </w:r>
    </w:p>
    <w:p w14:paraId="4FCF5D16" w14:textId="77777777" w:rsidR="00B0678E" w:rsidRPr="00FE5001" w:rsidRDefault="00B0678E" w:rsidP="008E7002">
      <w:pPr>
        <w:spacing w:after="0" w:line="240" w:lineRule="auto"/>
        <w:jc w:val="both"/>
        <w:rPr>
          <w:rFonts w:ascii="Times New Roman" w:hAnsi="Times New Roman" w:cs="Times New Roman"/>
          <w:i/>
          <w:iCs/>
        </w:rPr>
      </w:pPr>
    </w:p>
    <w:p w14:paraId="57EE661C" w14:textId="65025F70" w:rsidR="009109BE" w:rsidRDefault="0052597C">
      <w:pPr>
        <w:spacing w:after="0" w:line="240" w:lineRule="auto"/>
        <w:jc w:val="both"/>
        <w:rPr>
          <w:rFonts w:ascii="Times New Roman" w:hAnsi="Times New Roman" w:cs="Times New Roman"/>
          <w:i/>
          <w:iCs/>
        </w:rPr>
      </w:pPr>
      <w:r>
        <w:rPr>
          <w:rFonts w:ascii="Times New Roman" w:hAnsi="Times New Roman" w:cs="Times New Roman"/>
          <w:i/>
          <w:iCs/>
        </w:rPr>
        <w:t>R</w:t>
      </w:r>
      <w:r w:rsidR="00925DEC" w:rsidRPr="00FE5001">
        <w:rPr>
          <w:rFonts w:ascii="Times New Roman" w:hAnsi="Times New Roman" w:cs="Times New Roman"/>
          <w:i/>
          <w:iCs/>
        </w:rPr>
        <w:t xml:space="preserve">especto a la Licitación de Casinos de Buenos Aires, donde Boldt </w:t>
      </w:r>
      <w:r>
        <w:rPr>
          <w:rFonts w:ascii="Times New Roman" w:hAnsi="Times New Roman" w:cs="Times New Roman"/>
          <w:i/>
          <w:iCs/>
        </w:rPr>
        <w:t>es el nuev</w:t>
      </w:r>
      <w:r w:rsidR="002C49E5">
        <w:rPr>
          <w:rFonts w:ascii="Times New Roman" w:hAnsi="Times New Roman" w:cs="Times New Roman"/>
          <w:i/>
          <w:iCs/>
        </w:rPr>
        <w:t>o</w:t>
      </w:r>
      <w:r>
        <w:rPr>
          <w:rFonts w:ascii="Times New Roman" w:hAnsi="Times New Roman" w:cs="Times New Roman"/>
          <w:i/>
          <w:iCs/>
        </w:rPr>
        <w:t xml:space="preserve"> </w:t>
      </w:r>
      <w:r w:rsidR="00925DEC" w:rsidRPr="00FE5001">
        <w:rPr>
          <w:rFonts w:ascii="Times New Roman" w:hAnsi="Times New Roman" w:cs="Times New Roman"/>
          <w:i/>
          <w:iCs/>
        </w:rPr>
        <w:t xml:space="preserve">proveedor de servicios integrales por el término de 20 años en las </w:t>
      </w:r>
      <w:r w:rsidR="002D3FB1" w:rsidRPr="00FE5001">
        <w:rPr>
          <w:rFonts w:ascii="Times New Roman" w:hAnsi="Times New Roman" w:cs="Times New Roman"/>
          <w:i/>
          <w:iCs/>
        </w:rPr>
        <w:t>s</w:t>
      </w:r>
      <w:r w:rsidR="00925DEC" w:rsidRPr="00FE5001">
        <w:rPr>
          <w:rFonts w:ascii="Times New Roman" w:hAnsi="Times New Roman" w:cs="Times New Roman"/>
          <w:i/>
          <w:iCs/>
        </w:rPr>
        <w:t>alas adjudicadas por el Renglón Nro. 1</w:t>
      </w:r>
      <w:r w:rsidR="00244207" w:rsidRPr="00FE5001">
        <w:rPr>
          <w:rFonts w:ascii="Times New Roman" w:hAnsi="Times New Roman" w:cs="Times New Roman"/>
          <w:i/>
          <w:iCs/>
        </w:rPr>
        <w:t xml:space="preserve"> </w:t>
      </w:r>
      <w:bookmarkStart w:id="20" w:name="_Hlk92395244"/>
      <w:r w:rsidR="00244207" w:rsidRPr="00FE5001">
        <w:rPr>
          <w:rFonts w:ascii="Times New Roman" w:hAnsi="Times New Roman" w:cs="Times New Roman"/>
          <w:i/>
          <w:iCs/>
        </w:rPr>
        <w:t>(Casino de Tigre y Casino de Pinamar)</w:t>
      </w:r>
      <w:bookmarkStart w:id="21" w:name="_Hlk92395260"/>
      <w:bookmarkEnd w:id="20"/>
      <w:r w:rsidRPr="00C35966">
        <w:rPr>
          <w:rFonts w:ascii="Times New Roman" w:hAnsi="Times New Roman" w:cs="Times New Roman"/>
          <w:i/>
          <w:iCs/>
        </w:rPr>
        <w:t>, este va a ser un ejercicio de comienzo de las inversiones necesarias para cumplir con la oferta y poner a los casinos a la altura de las demandas actuales bajo nuevos paradigmas de negocio, luego de la enseñanza dejada por la pandemia y donde el juego presencial y el nuevo juego on-line se potenciarán uno con el otro</w:t>
      </w:r>
      <w:r>
        <w:rPr>
          <w:rFonts w:ascii="Times New Roman" w:hAnsi="Times New Roman" w:cs="Times New Roman"/>
          <w:i/>
          <w:iCs/>
        </w:rPr>
        <w:t>.</w:t>
      </w:r>
      <w:r w:rsidRPr="00C35966">
        <w:rPr>
          <w:rFonts w:ascii="Times New Roman" w:hAnsi="Times New Roman" w:cs="Times New Roman"/>
          <w:i/>
          <w:iCs/>
        </w:rPr>
        <w:t xml:space="preserve"> </w:t>
      </w:r>
      <w:bookmarkStart w:id="22" w:name="_Hlk92395647"/>
      <w:bookmarkEnd w:id="21"/>
    </w:p>
    <w:p w14:paraId="36DAD4FF" w14:textId="77777777" w:rsidR="009109BE" w:rsidRDefault="009109BE">
      <w:pPr>
        <w:spacing w:after="0" w:line="240" w:lineRule="auto"/>
        <w:jc w:val="both"/>
        <w:rPr>
          <w:rFonts w:ascii="Times New Roman" w:hAnsi="Times New Roman" w:cs="Times New Roman"/>
          <w:i/>
          <w:iCs/>
        </w:rPr>
      </w:pPr>
    </w:p>
    <w:p w14:paraId="767D2CD2" w14:textId="10C7469E" w:rsidR="00925DEC" w:rsidRPr="00FE5001" w:rsidRDefault="002D3FB1" w:rsidP="00FE5001">
      <w:pPr>
        <w:spacing w:after="0" w:line="240" w:lineRule="auto"/>
        <w:jc w:val="both"/>
        <w:rPr>
          <w:rFonts w:ascii="Times New Roman" w:hAnsi="Times New Roman" w:cs="Times New Roman"/>
          <w:i/>
          <w:iCs/>
        </w:rPr>
      </w:pPr>
      <w:r w:rsidRPr="00FE5001">
        <w:rPr>
          <w:rFonts w:ascii="Times New Roman" w:hAnsi="Times New Roman" w:cs="Times New Roman"/>
          <w:i/>
          <w:iCs/>
        </w:rPr>
        <w:t>Asimismo</w:t>
      </w:r>
      <w:r w:rsidR="00925DEC" w:rsidRPr="00FE5001">
        <w:rPr>
          <w:rFonts w:ascii="Times New Roman" w:hAnsi="Times New Roman" w:cs="Times New Roman"/>
          <w:i/>
          <w:iCs/>
        </w:rPr>
        <w:t xml:space="preserve">, </w:t>
      </w:r>
      <w:r w:rsidR="00892F93" w:rsidRPr="00FE5001">
        <w:rPr>
          <w:rFonts w:ascii="Times New Roman" w:hAnsi="Times New Roman" w:cs="Times New Roman"/>
          <w:i/>
          <w:iCs/>
        </w:rPr>
        <w:t xml:space="preserve">se continúa con </w:t>
      </w:r>
      <w:r w:rsidRPr="00FE5001">
        <w:rPr>
          <w:rFonts w:ascii="Times New Roman" w:hAnsi="Times New Roman" w:cs="Times New Roman"/>
          <w:i/>
          <w:iCs/>
        </w:rPr>
        <w:t>la explotación de las salas incluidas en</w:t>
      </w:r>
      <w:bookmarkEnd w:id="22"/>
      <w:r w:rsidRPr="00FE5001">
        <w:rPr>
          <w:rFonts w:ascii="Times New Roman" w:hAnsi="Times New Roman" w:cs="Times New Roman"/>
          <w:i/>
          <w:iCs/>
        </w:rPr>
        <w:t xml:space="preserve"> </w:t>
      </w:r>
      <w:r w:rsidR="00925DEC" w:rsidRPr="00FE5001">
        <w:rPr>
          <w:rFonts w:ascii="Times New Roman" w:hAnsi="Times New Roman" w:cs="Times New Roman"/>
          <w:i/>
          <w:iCs/>
        </w:rPr>
        <w:t>el renglón Nro.2</w:t>
      </w:r>
      <w:r w:rsidRPr="00FE5001">
        <w:rPr>
          <w:rFonts w:ascii="Times New Roman" w:hAnsi="Times New Roman" w:cs="Times New Roman"/>
          <w:i/>
          <w:iCs/>
        </w:rPr>
        <w:t xml:space="preserve"> </w:t>
      </w:r>
      <w:bookmarkStart w:id="23" w:name="_Hlk92395675"/>
      <w:r w:rsidRPr="00FE5001">
        <w:rPr>
          <w:rFonts w:ascii="Times New Roman" w:hAnsi="Times New Roman" w:cs="Times New Roman"/>
          <w:i/>
          <w:iCs/>
        </w:rPr>
        <w:t>(Mar del Plata -Hotel Hermitage-, Tandil y Miramar</w:t>
      </w:r>
      <w:r w:rsidR="00244207" w:rsidRPr="00FE5001">
        <w:rPr>
          <w:rFonts w:ascii="Times New Roman" w:hAnsi="Times New Roman" w:cs="Times New Roman"/>
          <w:i/>
          <w:iCs/>
        </w:rPr>
        <w:t>)</w:t>
      </w:r>
      <w:bookmarkEnd w:id="23"/>
      <w:r w:rsidR="00925DEC" w:rsidRPr="00FE5001">
        <w:rPr>
          <w:rFonts w:ascii="Times New Roman" w:hAnsi="Times New Roman" w:cs="Times New Roman"/>
          <w:i/>
          <w:iCs/>
        </w:rPr>
        <w:t xml:space="preserve">, </w:t>
      </w:r>
      <w:r w:rsidR="006C2FBB" w:rsidRPr="00FE5001">
        <w:rPr>
          <w:rFonts w:ascii="Times New Roman" w:hAnsi="Times New Roman" w:cs="Times New Roman"/>
          <w:i/>
          <w:iCs/>
        </w:rPr>
        <w:t xml:space="preserve">cuya renovación </w:t>
      </w:r>
      <w:bookmarkStart w:id="24" w:name="_Hlk92395692"/>
      <w:r w:rsidR="00892F93" w:rsidRPr="00FE5001">
        <w:rPr>
          <w:rFonts w:ascii="Times New Roman" w:hAnsi="Times New Roman" w:cs="Times New Roman"/>
          <w:i/>
          <w:iCs/>
        </w:rPr>
        <w:t xml:space="preserve">ha sido aprobada por </w:t>
      </w:r>
      <w:proofErr w:type="spellStart"/>
      <w:r w:rsidR="00892F93" w:rsidRPr="00FE5001">
        <w:rPr>
          <w:rFonts w:ascii="Times New Roman" w:hAnsi="Times New Roman" w:cs="Times New Roman"/>
          <w:i/>
          <w:iCs/>
        </w:rPr>
        <w:t>IPLyC</w:t>
      </w:r>
      <w:proofErr w:type="spellEnd"/>
      <w:r w:rsidR="00892F93" w:rsidRPr="00FE5001">
        <w:rPr>
          <w:rFonts w:ascii="Times New Roman" w:hAnsi="Times New Roman" w:cs="Times New Roman"/>
          <w:i/>
          <w:iCs/>
        </w:rPr>
        <w:t xml:space="preserve"> </w:t>
      </w:r>
      <w:bookmarkEnd w:id="24"/>
      <w:r w:rsidR="006C2FBB" w:rsidRPr="00FE5001">
        <w:rPr>
          <w:rFonts w:ascii="Times New Roman" w:hAnsi="Times New Roman" w:cs="Times New Roman"/>
          <w:i/>
          <w:iCs/>
        </w:rPr>
        <w:t xml:space="preserve">hasta el 31 de diciembre de 2021 o hasta el momento de </w:t>
      </w:r>
      <w:proofErr w:type="gramStart"/>
      <w:r w:rsidR="006C2FBB" w:rsidRPr="00FE5001">
        <w:rPr>
          <w:rFonts w:ascii="Times New Roman" w:hAnsi="Times New Roman" w:cs="Times New Roman"/>
          <w:i/>
          <w:iCs/>
        </w:rPr>
        <w:t>entrada en vigencia</w:t>
      </w:r>
      <w:proofErr w:type="gramEnd"/>
      <w:r w:rsidR="006C2FBB" w:rsidRPr="00FE5001">
        <w:rPr>
          <w:rFonts w:ascii="Times New Roman" w:hAnsi="Times New Roman" w:cs="Times New Roman"/>
          <w:i/>
          <w:iCs/>
        </w:rPr>
        <w:t xml:space="preserve"> del nuevo contrato.</w:t>
      </w:r>
      <w:r w:rsidR="009109BE">
        <w:rPr>
          <w:rFonts w:ascii="Times New Roman" w:hAnsi="Times New Roman" w:cs="Times New Roman"/>
          <w:i/>
          <w:iCs/>
        </w:rPr>
        <w:t xml:space="preserve"> </w:t>
      </w:r>
      <w:r w:rsidR="009109BE" w:rsidRPr="00C35966">
        <w:rPr>
          <w:rFonts w:ascii="Times New Roman" w:hAnsi="Times New Roman" w:cs="Times New Roman"/>
          <w:i/>
          <w:iCs/>
        </w:rPr>
        <w:t>A pesar de la situación contractual Boldt contin</w:t>
      </w:r>
      <w:r w:rsidR="002C49E5">
        <w:rPr>
          <w:rFonts w:ascii="Times New Roman" w:hAnsi="Times New Roman" w:cs="Times New Roman"/>
          <w:i/>
          <w:iCs/>
        </w:rPr>
        <w:t>ú</w:t>
      </w:r>
      <w:r w:rsidR="009109BE" w:rsidRPr="00C35966">
        <w:rPr>
          <w:rFonts w:ascii="Times New Roman" w:hAnsi="Times New Roman" w:cs="Times New Roman"/>
          <w:i/>
          <w:iCs/>
        </w:rPr>
        <w:t>a dado soporte y realizando inversiones para enfrentar la próxima temporada de verano momento de máxima estacionalidad para las salas mencionadas</w:t>
      </w:r>
      <w:r w:rsidR="009109BE">
        <w:rPr>
          <w:rFonts w:ascii="Times New Roman" w:hAnsi="Times New Roman" w:cs="Times New Roman"/>
          <w:i/>
          <w:iCs/>
        </w:rPr>
        <w:t>.</w:t>
      </w:r>
    </w:p>
    <w:p w14:paraId="501DBD6E" w14:textId="77777777" w:rsidR="00A747F0" w:rsidRPr="00FE5001" w:rsidRDefault="00A747F0" w:rsidP="00FE5001">
      <w:pPr>
        <w:spacing w:after="0" w:line="240" w:lineRule="auto"/>
        <w:jc w:val="both"/>
        <w:rPr>
          <w:rFonts w:ascii="Times New Roman" w:hAnsi="Times New Roman" w:cs="Times New Roman"/>
          <w:i/>
          <w:iCs/>
        </w:rPr>
      </w:pPr>
    </w:p>
    <w:p w14:paraId="5714D763" w14:textId="7B6FC1D6" w:rsidR="00925DEC" w:rsidRPr="00FE5001" w:rsidRDefault="00925DEC"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A su vez </w:t>
      </w:r>
      <w:r w:rsidR="009109BE">
        <w:rPr>
          <w:rFonts w:ascii="Times New Roman" w:hAnsi="Times New Roman" w:cs="Times New Roman"/>
          <w:i/>
          <w:iCs/>
        </w:rPr>
        <w:t>contamos con el</w:t>
      </w:r>
      <w:r w:rsidRPr="00FE5001">
        <w:rPr>
          <w:rFonts w:ascii="Times New Roman" w:hAnsi="Times New Roman" w:cs="Times New Roman"/>
          <w:i/>
          <w:iCs/>
        </w:rPr>
        <w:t xml:space="preserve"> desarrollo y mantenimiento de las inversiones de los negocios de entretenimientos existentes en Argentina, Uruguay, Chile y Paraguay, de forma sustentable a largo plazo buscando ser un referente regional</w:t>
      </w:r>
      <w:r w:rsidR="009109BE">
        <w:rPr>
          <w:rFonts w:ascii="Times New Roman" w:hAnsi="Times New Roman" w:cs="Times New Roman"/>
          <w:i/>
          <w:iCs/>
        </w:rPr>
        <w:t xml:space="preserve"> y esperando superar estándares </w:t>
      </w:r>
      <w:proofErr w:type="spellStart"/>
      <w:r w:rsidR="009109BE">
        <w:rPr>
          <w:rFonts w:ascii="Times New Roman" w:hAnsi="Times New Roman" w:cs="Times New Roman"/>
          <w:i/>
          <w:iCs/>
        </w:rPr>
        <w:t>pre-pandemia</w:t>
      </w:r>
      <w:proofErr w:type="spellEnd"/>
      <w:r w:rsidR="00892F93" w:rsidRPr="00FE5001">
        <w:rPr>
          <w:rFonts w:ascii="Times New Roman" w:hAnsi="Times New Roman" w:cs="Times New Roman"/>
          <w:i/>
          <w:iCs/>
        </w:rPr>
        <w:t>,</w:t>
      </w:r>
      <w:r w:rsidR="00B6114A" w:rsidRPr="00FE5001">
        <w:rPr>
          <w:rFonts w:ascii="Times New Roman" w:hAnsi="Times New Roman" w:cs="Times New Roman"/>
          <w:i/>
          <w:iCs/>
        </w:rPr>
        <w:t xml:space="preserve"> aunque </w:t>
      </w:r>
      <w:r w:rsidR="009109BE">
        <w:rPr>
          <w:rFonts w:ascii="Times New Roman" w:hAnsi="Times New Roman" w:cs="Times New Roman"/>
          <w:i/>
          <w:iCs/>
        </w:rPr>
        <w:t>sea</w:t>
      </w:r>
      <w:r w:rsidR="00B6114A" w:rsidRPr="00FE5001">
        <w:rPr>
          <w:rFonts w:ascii="Times New Roman" w:hAnsi="Times New Roman" w:cs="Times New Roman"/>
          <w:i/>
          <w:iCs/>
        </w:rPr>
        <w:t xml:space="preserve"> dificultoso predecir c</w:t>
      </w:r>
      <w:r w:rsidR="00892F93" w:rsidRPr="00FE5001">
        <w:rPr>
          <w:rFonts w:ascii="Times New Roman" w:hAnsi="Times New Roman" w:cs="Times New Roman"/>
          <w:i/>
          <w:iCs/>
        </w:rPr>
        <w:t>ó</w:t>
      </w:r>
      <w:r w:rsidR="00B6114A" w:rsidRPr="00FE5001">
        <w:rPr>
          <w:rFonts w:ascii="Times New Roman" w:hAnsi="Times New Roman" w:cs="Times New Roman"/>
          <w:i/>
          <w:iCs/>
        </w:rPr>
        <w:t xml:space="preserve">mo evolucionará </w:t>
      </w:r>
      <w:r w:rsidR="009109BE">
        <w:rPr>
          <w:rFonts w:ascii="Times New Roman" w:hAnsi="Times New Roman" w:cs="Times New Roman"/>
          <w:i/>
          <w:iCs/>
        </w:rPr>
        <w:t>esta</w:t>
      </w:r>
      <w:r w:rsidR="00B6114A" w:rsidRPr="00FE5001">
        <w:rPr>
          <w:rFonts w:ascii="Times New Roman" w:hAnsi="Times New Roman" w:cs="Times New Roman"/>
          <w:i/>
          <w:iCs/>
        </w:rPr>
        <w:t xml:space="preserve"> y </w:t>
      </w:r>
      <w:r w:rsidR="00892F93" w:rsidRPr="00FE5001">
        <w:rPr>
          <w:rFonts w:ascii="Times New Roman" w:hAnsi="Times New Roman" w:cs="Times New Roman"/>
          <w:i/>
          <w:iCs/>
        </w:rPr>
        <w:t xml:space="preserve">el </w:t>
      </w:r>
      <w:r w:rsidR="00B6114A" w:rsidRPr="00FE5001">
        <w:rPr>
          <w:rFonts w:ascii="Times New Roman" w:hAnsi="Times New Roman" w:cs="Times New Roman"/>
          <w:i/>
          <w:iCs/>
        </w:rPr>
        <w:t xml:space="preserve">impacto </w:t>
      </w:r>
      <w:r w:rsidR="00892F93" w:rsidRPr="00FE5001">
        <w:rPr>
          <w:rFonts w:ascii="Times New Roman" w:hAnsi="Times New Roman" w:cs="Times New Roman"/>
          <w:i/>
          <w:iCs/>
        </w:rPr>
        <w:t xml:space="preserve">que esta </w:t>
      </w:r>
      <w:r w:rsidR="00B6114A" w:rsidRPr="00FE5001">
        <w:rPr>
          <w:rFonts w:ascii="Times New Roman" w:hAnsi="Times New Roman" w:cs="Times New Roman"/>
          <w:i/>
          <w:iCs/>
        </w:rPr>
        <w:t>puede acarrear</w:t>
      </w:r>
      <w:r w:rsidR="009109BE">
        <w:rPr>
          <w:rFonts w:ascii="Times New Roman" w:hAnsi="Times New Roman" w:cs="Times New Roman"/>
          <w:i/>
          <w:iCs/>
        </w:rPr>
        <w:t xml:space="preserve"> </w:t>
      </w:r>
      <w:r w:rsidR="009109BE" w:rsidRPr="00C35966">
        <w:rPr>
          <w:rFonts w:ascii="Times New Roman" w:hAnsi="Times New Roman" w:cs="Times New Roman"/>
          <w:i/>
          <w:iCs/>
        </w:rPr>
        <w:t xml:space="preserve">en un futuro inmediato, a pesar </w:t>
      </w:r>
      <w:r w:rsidR="002C49E5">
        <w:rPr>
          <w:rFonts w:ascii="Times New Roman" w:hAnsi="Times New Roman" w:cs="Times New Roman"/>
          <w:i/>
          <w:iCs/>
        </w:rPr>
        <w:t xml:space="preserve">de </w:t>
      </w:r>
      <w:r w:rsidR="009109BE" w:rsidRPr="00C35966">
        <w:rPr>
          <w:rFonts w:ascii="Times New Roman" w:hAnsi="Times New Roman" w:cs="Times New Roman"/>
          <w:i/>
          <w:iCs/>
        </w:rPr>
        <w:t>que en un mediano plazo somos muy optimistas</w:t>
      </w:r>
      <w:r w:rsidR="00892F93" w:rsidRPr="00FE5001">
        <w:rPr>
          <w:rFonts w:ascii="Times New Roman" w:hAnsi="Times New Roman" w:cs="Times New Roman"/>
          <w:i/>
          <w:iCs/>
        </w:rPr>
        <w:t>.</w:t>
      </w:r>
    </w:p>
    <w:p w14:paraId="7C74160B" w14:textId="77777777" w:rsidR="00B0678E" w:rsidRPr="00FE5001" w:rsidRDefault="00B0678E" w:rsidP="00FE5001">
      <w:pPr>
        <w:spacing w:after="0" w:line="240" w:lineRule="auto"/>
        <w:jc w:val="both"/>
        <w:rPr>
          <w:rFonts w:ascii="Times New Roman" w:hAnsi="Times New Roman" w:cs="Times New Roman"/>
          <w:i/>
          <w:iCs/>
        </w:rPr>
      </w:pPr>
    </w:p>
    <w:p w14:paraId="5597DECF" w14:textId="74F39125" w:rsidR="00925DEC" w:rsidRPr="00FE5001" w:rsidRDefault="00261774"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La </w:t>
      </w:r>
      <w:r w:rsidR="00892F93" w:rsidRPr="00FE5001">
        <w:rPr>
          <w:rFonts w:ascii="Times New Roman" w:hAnsi="Times New Roman" w:cs="Times New Roman"/>
          <w:i/>
          <w:iCs/>
        </w:rPr>
        <w:t xml:space="preserve">reorganización societaria producto de la </w:t>
      </w:r>
      <w:r w:rsidRPr="00FE5001">
        <w:rPr>
          <w:rFonts w:ascii="Times New Roman" w:hAnsi="Times New Roman" w:cs="Times New Roman"/>
          <w:i/>
          <w:iCs/>
        </w:rPr>
        <w:t xml:space="preserve">fusión </w:t>
      </w:r>
      <w:r w:rsidR="00892F93" w:rsidRPr="00FE5001">
        <w:rPr>
          <w:rFonts w:ascii="Times New Roman" w:hAnsi="Times New Roman" w:cs="Times New Roman"/>
          <w:i/>
          <w:iCs/>
        </w:rPr>
        <w:t xml:space="preserve">por absorción </w:t>
      </w:r>
      <w:r w:rsidRPr="00FE5001">
        <w:rPr>
          <w:rFonts w:ascii="Times New Roman" w:hAnsi="Times New Roman" w:cs="Times New Roman"/>
          <w:i/>
          <w:iCs/>
        </w:rPr>
        <w:t>de la empresa Torre Puerto Santa Fe S</w:t>
      </w:r>
      <w:r w:rsidR="00892F93" w:rsidRPr="00FE5001">
        <w:rPr>
          <w:rFonts w:ascii="Times New Roman" w:hAnsi="Times New Roman" w:cs="Times New Roman"/>
          <w:i/>
          <w:iCs/>
        </w:rPr>
        <w:t>.</w:t>
      </w:r>
      <w:r w:rsidRPr="00FE5001">
        <w:rPr>
          <w:rFonts w:ascii="Times New Roman" w:hAnsi="Times New Roman" w:cs="Times New Roman"/>
          <w:i/>
          <w:iCs/>
        </w:rPr>
        <w:t xml:space="preserve">A fue conformada </w:t>
      </w:r>
      <w:r w:rsidR="00892F93" w:rsidRPr="00FE5001">
        <w:rPr>
          <w:rFonts w:ascii="Times New Roman" w:hAnsi="Times New Roman" w:cs="Times New Roman"/>
          <w:i/>
          <w:iCs/>
        </w:rPr>
        <w:t xml:space="preserve">por la Comisión Nacional de Valores </w:t>
      </w:r>
      <w:r w:rsidRPr="00FE5001">
        <w:rPr>
          <w:rFonts w:ascii="Times New Roman" w:hAnsi="Times New Roman" w:cs="Times New Roman"/>
          <w:i/>
          <w:iCs/>
        </w:rPr>
        <w:t>y con fecha 15 de diciembre de 2021</w:t>
      </w:r>
      <w:r w:rsidR="00892F93" w:rsidRPr="00FE5001">
        <w:rPr>
          <w:rFonts w:ascii="Times New Roman" w:hAnsi="Times New Roman" w:cs="Times New Roman"/>
          <w:i/>
          <w:iCs/>
        </w:rPr>
        <w:t xml:space="preserve"> fue inscripta ante </w:t>
      </w:r>
      <w:r w:rsidRPr="00FE5001">
        <w:rPr>
          <w:rFonts w:ascii="Times New Roman" w:hAnsi="Times New Roman" w:cs="Times New Roman"/>
          <w:i/>
          <w:iCs/>
        </w:rPr>
        <w:t>la IGJ</w:t>
      </w:r>
      <w:r w:rsidR="00892F93" w:rsidRPr="00FE5001">
        <w:rPr>
          <w:rFonts w:ascii="Times New Roman" w:hAnsi="Times New Roman" w:cs="Times New Roman"/>
          <w:i/>
          <w:iCs/>
        </w:rPr>
        <w:t>. A la fecha de la presente</w:t>
      </w:r>
      <w:r w:rsidRPr="00FE5001">
        <w:rPr>
          <w:rFonts w:ascii="Times New Roman" w:hAnsi="Times New Roman" w:cs="Times New Roman"/>
          <w:i/>
          <w:iCs/>
        </w:rPr>
        <w:t xml:space="preserve">, el Directorio de la Sociedad </w:t>
      </w:r>
      <w:r w:rsidR="00892F93" w:rsidRPr="00FE5001">
        <w:rPr>
          <w:rFonts w:ascii="Times New Roman" w:hAnsi="Times New Roman" w:cs="Times New Roman"/>
          <w:i/>
          <w:iCs/>
        </w:rPr>
        <w:t xml:space="preserve">ha dispuesto </w:t>
      </w:r>
      <w:r w:rsidRPr="00FE5001">
        <w:rPr>
          <w:rFonts w:ascii="Times New Roman" w:hAnsi="Times New Roman" w:cs="Times New Roman"/>
          <w:i/>
          <w:iCs/>
        </w:rPr>
        <w:t>la emisión y canje de los títulos y certificados relacionados con el aumento de capital</w:t>
      </w:r>
      <w:r w:rsidR="00892F93" w:rsidRPr="00FE5001">
        <w:rPr>
          <w:rFonts w:ascii="Times New Roman" w:hAnsi="Times New Roman" w:cs="Times New Roman"/>
          <w:i/>
          <w:iCs/>
        </w:rPr>
        <w:t xml:space="preserve"> producto de la fusión y Caja de Valores S.A ha acreditado dichas acciones en las cuentas de los accionistas de Torre Puerto Santa Fe S.A</w:t>
      </w:r>
      <w:r w:rsidRPr="00FE5001">
        <w:rPr>
          <w:rFonts w:ascii="Times New Roman" w:hAnsi="Times New Roman" w:cs="Times New Roman"/>
          <w:i/>
          <w:iCs/>
        </w:rPr>
        <w:t>. A la fecha está operando la unidad de negocios desde Boldt de forma rentable.</w:t>
      </w:r>
    </w:p>
    <w:p w14:paraId="4E3D1B3A" w14:textId="77777777" w:rsidR="0094039E" w:rsidRPr="00FE5001" w:rsidRDefault="0094039E" w:rsidP="00FE5001">
      <w:pPr>
        <w:spacing w:after="0" w:line="240" w:lineRule="auto"/>
        <w:jc w:val="both"/>
        <w:rPr>
          <w:rFonts w:ascii="Times New Roman" w:hAnsi="Times New Roman" w:cs="Times New Roman"/>
          <w:i/>
          <w:iCs/>
        </w:rPr>
      </w:pPr>
    </w:p>
    <w:p w14:paraId="46878F73" w14:textId="6C9324D6" w:rsidR="00B6114A" w:rsidRPr="00FE5001" w:rsidRDefault="00B6114A" w:rsidP="00FE5001">
      <w:pPr>
        <w:spacing w:after="0" w:line="240" w:lineRule="auto"/>
        <w:jc w:val="both"/>
        <w:rPr>
          <w:rFonts w:ascii="Times New Roman" w:hAnsi="Times New Roman" w:cs="Times New Roman"/>
          <w:i/>
          <w:iCs/>
        </w:rPr>
      </w:pPr>
      <w:r w:rsidRPr="00FE5001">
        <w:rPr>
          <w:rFonts w:ascii="Times New Roman" w:hAnsi="Times New Roman" w:cs="Times New Roman"/>
          <w:i/>
          <w:iCs/>
        </w:rPr>
        <w:t>Lo</w:t>
      </w:r>
      <w:r w:rsidR="00925DEC" w:rsidRPr="00FE5001">
        <w:rPr>
          <w:rFonts w:ascii="Times New Roman" w:hAnsi="Times New Roman" w:cs="Times New Roman"/>
          <w:i/>
          <w:iCs/>
        </w:rPr>
        <w:t xml:space="preserve">s resultados del periodo </w:t>
      </w:r>
      <w:r w:rsidRPr="00FE5001">
        <w:rPr>
          <w:rFonts w:ascii="Times New Roman" w:hAnsi="Times New Roman" w:cs="Times New Roman"/>
          <w:i/>
          <w:iCs/>
        </w:rPr>
        <w:t>son negativos debido al</w:t>
      </w:r>
      <w:r w:rsidR="00925DEC" w:rsidRPr="00FE5001">
        <w:rPr>
          <w:rFonts w:ascii="Times New Roman" w:hAnsi="Times New Roman" w:cs="Times New Roman"/>
          <w:i/>
          <w:iCs/>
        </w:rPr>
        <w:t xml:space="preserve"> comportamiento</w:t>
      </w:r>
      <w:r w:rsidR="009109BE">
        <w:rPr>
          <w:rFonts w:ascii="Times New Roman" w:hAnsi="Times New Roman" w:cs="Times New Roman"/>
          <w:i/>
          <w:iCs/>
        </w:rPr>
        <w:t xml:space="preserve"> intermitente</w:t>
      </w:r>
      <w:r w:rsidR="00925DEC" w:rsidRPr="00FE5001">
        <w:rPr>
          <w:rFonts w:ascii="Times New Roman" w:hAnsi="Times New Roman" w:cs="Times New Roman"/>
          <w:i/>
          <w:iCs/>
        </w:rPr>
        <w:t xml:space="preserve"> de los </w:t>
      </w:r>
      <w:r w:rsidR="00892F93" w:rsidRPr="00FE5001">
        <w:rPr>
          <w:rFonts w:ascii="Times New Roman" w:hAnsi="Times New Roman" w:cs="Times New Roman"/>
          <w:i/>
          <w:iCs/>
        </w:rPr>
        <w:t>c</w:t>
      </w:r>
      <w:r w:rsidR="00925DEC" w:rsidRPr="00FE5001">
        <w:rPr>
          <w:rFonts w:ascii="Times New Roman" w:hAnsi="Times New Roman" w:cs="Times New Roman"/>
          <w:i/>
          <w:iCs/>
        </w:rPr>
        <w:t>asinos</w:t>
      </w:r>
      <w:r w:rsidRPr="00FE5001">
        <w:rPr>
          <w:rFonts w:ascii="Times New Roman" w:hAnsi="Times New Roman" w:cs="Times New Roman"/>
          <w:i/>
          <w:iCs/>
        </w:rPr>
        <w:t xml:space="preserve"> </w:t>
      </w:r>
      <w:r w:rsidR="00892F93" w:rsidRPr="00FE5001">
        <w:rPr>
          <w:rFonts w:ascii="Times New Roman" w:hAnsi="Times New Roman" w:cs="Times New Roman"/>
          <w:i/>
          <w:iCs/>
        </w:rPr>
        <w:t xml:space="preserve">producto de la </w:t>
      </w:r>
      <w:r w:rsidR="006323CC" w:rsidRPr="006323CC">
        <w:rPr>
          <w:rFonts w:ascii="Times New Roman" w:hAnsi="Times New Roman" w:cs="Times New Roman"/>
          <w:i/>
          <w:iCs/>
        </w:rPr>
        <w:t>pandemia,</w:t>
      </w:r>
      <w:r w:rsidR="00892F93" w:rsidRPr="00FE5001">
        <w:rPr>
          <w:rFonts w:ascii="Times New Roman" w:hAnsi="Times New Roman" w:cs="Times New Roman"/>
          <w:i/>
          <w:iCs/>
        </w:rPr>
        <w:t xml:space="preserve"> </w:t>
      </w:r>
      <w:r w:rsidR="009109BE" w:rsidRPr="00C35966">
        <w:rPr>
          <w:rFonts w:ascii="Times New Roman" w:hAnsi="Times New Roman" w:cs="Times New Roman"/>
          <w:i/>
          <w:iCs/>
        </w:rPr>
        <w:t xml:space="preserve">pero entendemos que esto no debiera suceder en el próximo ejercicio y no es lo que viene sucediendo hasta el cierre de esta Memoria, además </w:t>
      </w:r>
      <w:r w:rsidR="00892F93" w:rsidRPr="00FE5001">
        <w:rPr>
          <w:rFonts w:ascii="Times New Roman" w:hAnsi="Times New Roman" w:cs="Times New Roman"/>
          <w:i/>
          <w:iCs/>
        </w:rPr>
        <w:t xml:space="preserve">se espera </w:t>
      </w:r>
      <w:r w:rsidRPr="00FE5001">
        <w:rPr>
          <w:rFonts w:ascii="Times New Roman" w:hAnsi="Times New Roman" w:cs="Times New Roman"/>
          <w:i/>
          <w:iCs/>
        </w:rPr>
        <w:t>que los nuevos negocios</w:t>
      </w:r>
      <w:r w:rsidR="009109BE" w:rsidRPr="00C35966">
        <w:rPr>
          <w:rFonts w:ascii="Times New Roman" w:hAnsi="Times New Roman" w:cs="Times New Roman"/>
          <w:i/>
          <w:iCs/>
        </w:rPr>
        <w:t>, Vial y Juego On-Line</w:t>
      </w:r>
      <w:r w:rsidR="009109BE">
        <w:rPr>
          <w:rFonts w:ascii="Times New Roman" w:hAnsi="Times New Roman" w:cs="Times New Roman"/>
          <w:i/>
          <w:iCs/>
        </w:rPr>
        <w:t xml:space="preserve"> mejores aún más </w:t>
      </w:r>
      <w:r w:rsidRPr="00FE5001">
        <w:rPr>
          <w:rFonts w:ascii="Times New Roman" w:hAnsi="Times New Roman" w:cs="Times New Roman"/>
          <w:i/>
          <w:iCs/>
        </w:rPr>
        <w:t>esta situación</w:t>
      </w:r>
      <w:r w:rsidR="00925DEC" w:rsidRPr="00FE5001">
        <w:rPr>
          <w:rFonts w:ascii="Times New Roman" w:hAnsi="Times New Roman" w:cs="Times New Roman"/>
          <w:i/>
          <w:iCs/>
        </w:rPr>
        <w:t xml:space="preserve"> </w:t>
      </w:r>
      <w:r w:rsidRPr="00FE5001">
        <w:rPr>
          <w:rFonts w:ascii="Times New Roman" w:hAnsi="Times New Roman" w:cs="Times New Roman"/>
          <w:i/>
          <w:iCs/>
        </w:rPr>
        <w:t>en el próximo ejercicio</w:t>
      </w:r>
      <w:r w:rsidR="008F3EEA" w:rsidRPr="00FE5001">
        <w:rPr>
          <w:rFonts w:ascii="Times New Roman" w:hAnsi="Times New Roman" w:cs="Times New Roman"/>
          <w:i/>
          <w:iCs/>
        </w:rPr>
        <w:t>. Esto</w:t>
      </w:r>
      <w:r w:rsidR="007E77AE" w:rsidRPr="00FE5001">
        <w:rPr>
          <w:rFonts w:ascii="Times New Roman" w:hAnsi="Times New Roman" w:cs="Times New Roman"/>
          <w:i/>
          <w:iCs/>
        </w:rPr>
        <w:t xml:space="preserve"> va</w:t>
      </w:r>
      <w:r w:rsidR="008F3EEA" w:rsidRPr="00FE5001">
        <w:rPr>
          <w:rFonts w:ascii="Times New Roman" w:hAnsi="Times New Roman" w:cs="Times New Roman"/>
          <w:i/>
          <w:iCs/>
        </w:rPr>
        <w:t xml:space="preserve"> </w:t>
      </w:r>
      <w:r w:rsidR="00892F93" w:rsidRPr="00FE5001">
        <w:rPr>
          <w:rFonts w:ascii="Times New Roman" w:hAnsi="Times New Roman" w:cs="Times New Roman"/>
          <w:i/>
          <w:iCs/>
        </w:rPr>
        <w:t xml:space="preserve">acompañado de </w:t>
      </w:r>
      <w:r w:rsidR="00925DEC" w:rsidRPr="00FE5001">
        <w:rPr>
          <w:rFonts w:ascii="Times New Roman" w:hAnsi="Times New Roman" w:cs="Times New Roman"/>
          <w:i/>
          <w:iCs/>
        </w:rPr>
        <w:t xml:space="preserve">la implementación de agresivas acciones de reducción de gastos </w:t>
      </w:r>
      <w:r w:rsidR="00892F93" w:rsidRPr="00FE5001">
        <w:rPr>
          <w:rFonts w:ascii="Times New Roman" w:hAnsi="Times New Roman" w:cs="Times New Roman"/>
          <w:i/>
          <w:iCs/>
        </w:rPr>
        <w:t xml:space="preserve">que fueron puestas </w:t>
      </w:r>
      <w:r w:rsidR="00925DEC" w:rsidRPr="00FE5001">
        <w:rPr>
          <w:rFonts w:ascii="Times New Roman" w:hAnsi="Times New Roman" w:cs="Times New Roman"/>
          <w:i/>
          <w:iCs/>
        </w:rPr>
        <w:t xml:space="preserve">en práctica desde el inicio de la pandemia </w:t>
      </w:r>
      <w:r w:rsidRPr="00FE5001">
        <w:rPr>
          <w:rFonts w:ascii="Times New Roman" w:hAnsi="Times New Roman" w:cs="Times New Roman"/>
          <w:i/>
          <w:iCs/>
        </w:rPr>
        <w:t xml:space="preserve">y </w:t>
      </w:r>
      <w:r w:rsidR="008F3EEA" w:rsidRPr="00FE5001">
        <w:rPr>
          <w:rFonts w:ascii="Times New Roman" w:hAnsi="Times New Roman" w:cs="Times New Roman"/>
          <w:i/>
          <w:iCs/>
        </w:rPr>
        <w:t xml:space="preserve">que se mantienen </w:t>
      </w:r>
      <w:r w:rsidR="00925DEC" w:rsidRPr="00FE5001">
        <w:rPr>
          <w:rFonts w:ascii="Times New Roman" w:hAnsi="Times New Roman" w:cs="Times New Roman"/>
          <w:i/>
          <w:iCs/>
        </w:rPr>
        <w:t>a la fecha</w:t>
      </w:r>
      <w:r w:rsidR="007E77AE" w:rsidRPr="00FE5001">
        <w:rPr>
          <w:rFonts w:ascii="Times New Roman" w:hAnsi="Times New Roman" w:cs="Times New Roman"/>
          <w:i/>
          <w:iCs/>
        </w:rPr>
        <w:t>,</w:t>
      </w:r>
    </w:p>
    <w:p w14:paraId="39D1C66F" w14:textId="77777777" w:rsidR="0094039E" w:rsidRPr="00FE5001" w:rsidRDefault="0094039E" w:rsidP="00FE5001">
      <w:pPr>
        <w:spacing w:after="0" w:line="240" w:lineRule="auto"/>
        <w:jc w:val="both"/>
        <w:rPr>
          <w:rFonts w:ascii="Times New Roman" w:hAnsi="Times New Roman" w:cs="Times New Roman"/>
          <w:i/>
          <w:iCs/>
        </w:rPr>
      </w:pPr>
    </w:p>
    <w:p w14:paraId="3E4B8FFA" w14:textId="4EA54A58" w:rsidR="00925DEC" w:rsidRPr="00FE5001" w:rsidRDefault="00925DEC" w:rsidP="00FE5001">
      <w:pPr>
        <w:spacing w:after="0" w:line="240" w:lineRule="auto"/>
        <w:jc w:val="both"/>
        <w:rPr>
          <w:rFonts w:ascii="Times New Roman" w:hAnsi="Times New Roman" w:cs="Times New Roman"/>
          <w:i/>
          <w:iCs/>
        </w:rPr>
      </w:pPr>
      <w:r w:rsidRPr="00FE5001">
        <w:rPr>
          <w:rFonts w:ascii="Times New Roman" w:hAnsi="Times New Roman" w:cs="Times New Roman"/>
          <w:i/>
          <w:iCs/>
        </w:rPr>
        <w:t xml:space="preserve">Para el próximo ejercicio </w:t>
      </w:r>
      <w:r w:rsidR="00B6114A" w:rsidRPr="00FE5001">
        <w:rPr>
          <w:rFonts w:ascii="Times New Roman" w:hAnsi="Times New Roman" w:cs="Times New Roman"/>
          <w:i/>
          <w:iCs/>
        </w:rPr>
        <w:t xml:space="preserve">esperamos </w:t>
      </w:r>
      <w:r w:rsidRPr="00FE5001">
        <w:rPr>
          <w:rFonts w:ascii="Times New Roman" w:hAnsi="Times New Roman" w:cs="Times New Roman"/>
          <w:i/>
          <w:iCs/>
        </w:rPr>
        <w:t xml:space="preserve">que las actuales condiciones </w:t>
      </w:r>
      <w:r w:rsidR="007E77AE" w:rsidRPr="00FE5001">
        <w:rPr>
          <w:rFonts w:ascii="Times New Roman" w:hAnsi="Times New Roman" w:cs="Times New Roman"/>
          <w:i/>
          <w:iCs/>
        </w:rPr>
        <w:t xml:space="preserve">comiencen </w:t>
      </w:r>
      <w:r w:rsidRPr="00FE5001">
        <w:rPr>
          <w:rFonts w:ascii="Times New Roman" w:hAnsi="Times New Roman" w:cs="Times New Roman"/>
          <w:i/>
          <w:iCs/>
        </w:rPr>
        <w:t>a mejorar lentamente,</w:t>
      </w:r>
      <w:r w:rsidR="00B6114A" w:rsidRPr="00FE5001">
        <w:rPr>
          <w:rFonts w:ascii="Times New Roman" w:hAnsi="Times New Roman" w:cs="Times New Roman"/>
          <w:i/>
          <w:iCs/>
        </w:rPr>
        <w:t xml:space="preserve"> </w:t>
      </w:r>
      <w:r w:rsidR="007E77AE" w:rsidRPr="00FE5001">
        <w:rPr>
          <w:rFonts w:ascii="Times New Roman" w:hAnsi="Times New Roman" w:cs="Times New Roman"/>
          <w:i/>
          <w:iCs/>
        </w:rPr>
        <w:t xml:space="preserve">ello </w:t>
      </w:r>
      <w:r w:rsidR="00B6114A" w:rsidRPr="00FE5001">
        <w:rPr>
          <w:rFonts w:ascii="Times New Roman" w:hAnsi="Times New Roman" w:cs="Times New Roman"/>
          <w:i/>
          <w:iCs/>
        </w:rPr>
        <w:t>sumado al desarrollo de nuevos negocios</w:t>
      </w:r>
      <w:r w:rsidR="007E77AE" w:rsidRPr="00FE5001">
        <w:rPr>
          <w:rFonts w:ascii="Times New Roman" w:hAnsi="Times New Roman" w:cs="Times New Roman"/>
          <w:i/>
          <w:iCs/>
        </w:rPr>
        <w:t>,</w:t>
      </w:r>
      <w:r w:rsidR="00B6114A" w:rsidRPr="00FE5001">
        <w:rPr>
          <w:rFonts w:ascii="Times New Roman" w:hAnsi="Times New Roman" w:cs="Times New Roman"/>
          <w:i/>
          <w:iCs/>
        </w:rPr>
        <w:t xml:space="preserve"> </w:t>
      </w:r>
      <w:r w:rsidRPr="00FE5001">
        <w:rPr>
          <w:rFonts w:ascii="Times New Roman" w:hAnsi="Times New Roman" w:cs="Times New Roman"/>
          <w:i/>
          <w:iCs/>
        </w:rPr>
        <w:t xml:space="preserve">sin lugar a duda exigirá continuar con esfuerzos operacionales de magnitud </w:t>
      </w:r>
      <w:r w:rsidR="007E77AE" w:rsidRPr="00FE5001">
        <w:rPr>
          <w:rFonts w:ascii="Times New Roman" w:hAnsi="Times New Roman" w:cs="Times New Roman"/>
          <w:i/>
          <w:iCs/>
        </w:rPr>
        <w:t xml:space="preserve">asumiendo </w:t>
      </w:r>
      <w:r w:rsidRPr="00FE5001">
        <w:rPr>
          <w:rFonts w:ascii="Times New Roman" w:hAnsi="Times New Roman" w:cs="Times New Roman"/>
          <w:i/>
          <w:iCs/>
        </w:rPr>
        <w:t>mayores riesgos ante márgenes de rentabilidad más limitados</w:t>
      </w:r>
      <w:r w:rsidR="00372DDA" w:rsidRPr="00FE5001">
        <w:rPr>
          <w:rFonts w:ascii="Times New Roman" w:hAnsi="Times New Roman" w:cs="Times New Roman"/>
          <w:i/>
          <w:iCs/>
        </w:rPr>
        <w:t xml:space="preserve"> en un mercado cada vez más competitivo.</w:t>
      </w:r>
    </w:p>
    <w:p w14:paraId="0BF25EC5" w14:textId="77777777" w:rsidR="0082686B" w:rsidRPr="00FE5001" w:rsidRDefault="0082686B" w:rsidP="008E7002">
      <w:pPr>
        <w:spacing w:after="0" w:line="240" w:lineRule="auto"/>
        <w:jc w:val="both"/>
        <w:rPr>
          <w:rFonts w:ascii="Times New Roman" w:hAnsi="Times New Roman" w:cs="Times New Roman"/>
          <w:i/>
          <w:iCs/>
        </w:rPr>
      </w:pPr>
    </w:p>
    <w:p w14:paraId="3C869B1E" w14:textId="77777777" w:rsidR="00563358" w:rsidRPr="00FE5001" w:rsidRDefault="00563358" w:rsidP="00FE5001">
      <w:pPr>
        <w:spacing w:after="0" w:line="240" w:lineRule="auto"/>
        <w:jc w:val="both"/>
        <w:rPr>
          <w:rFonts w:ascii="Times New Roman" w:hAnsi="Times New Roman" w:cs="Times New Roman"/>
          <w:b/>
          <w:bCs/>
          <w:i/>
          <w:iCs/>
          <w:lang w:val="es-ES" w:eastAsia="es-ES"/>
        </w:rPr>
      </w:pPr>
      <w:bookmarkStart w:id="25" w:name="_Hlk534385441"/>
      <w:r w:rsidRPr="00FE5001">
        <w:rPr>
          <w:rFonts w:ascii="Times New Roman" w:hAnsi="Times New Roman" w:cs="Times New Roman"/>
          <w:b/>
          <w:bCs/>
          <w:i/>
          <w:iCs/>
          <w:lang w:val="es-ES" w:eastAsia="es-ES"/>
        </w:rPr>
        <w:t>INFORME ACCIONES DE RESPONSABILIDAD SOCIAL EMPRESARIA (RSE)</w:t>
      </w:r>
    </w:p>
    <w:p w14:paraId="32E155D9" w14:textId="77777777" w:rsidR="0094039E" w:rsidRPr="00FE5001" w:rsidRDefault="0094039E" w:rsidP="00FE5001">
      <w:pPr>
        <w:spacing w:after="0" w:line="240" w:lineRule="auto"/>
        <w:jc w:val="both"/>
        <w:rPr>
          <w:rFonts w:ascii="Times New Roman" w:hAnsi="Times New Roman" w:cs="Times New Roman"/>
          <w:i/>
          <w:iCs/>
        </w:rPr>
      </w:pPr>
    </w:p>
    <w:p w14:paraId="0B23F7AF" w14:textId="77777777" w:rsidR="00563358" w:rsidRPr="00FE5001" w:rsidRDefault="00563358" w:rsidP="00FE5001">
      <w:pPr>
        <w:shd w:val="clear" w:color="auto" w:fill="FFFFFF"/>
        <w:spacing w:after="0" w:line="240" w:lineRule="auto"/>
        <w:jc w:val="both"/>
        <w:rPr>
          <w:rFonts w:ascii="Times New Roman" w:hAnsi="Times New Roman" w:cs="Times New Roman"/>
          <w:i/>
          <w:iCs/>
        </w:rPr>
      </w:pPr>
      <w:r w:rsidRPr="00FE5001">
        <w:rPr>
          <w:rFonts w:ascii="Times New Roman" w:hAnsi="Times New Roman" w:cs="Times New Roman"/>
          <w:i/>
          <w:iCs/>
          <w:color w:val="000000"/>
        </w:rPr>
        <w:t>A lo largo del presente ejercicio, hemos profundizado nuestro compromiso de ser “Actores Socialmente Responsables”. Nuestra gestión de RSE permitió continuar muy de cerca la magnífica tarea social que vienen desarrollando las instituciones que apadrinamos, sino también, generar nuevos proyectos, que nos permitan sumar nuestro granito de arena y contribuir a lo largo de este interminable propósito social.</w:t>
      </w:r>
    </w:p>
    <w:p w14:paraId="4F124E1F" w14:textId="77777777" w:rsidR="002C49E5" w:rsidRDefault="002C49E5" w:rsidP="00FE5001">
      <w:pPr>
        <w:spacing w:after="0" w:line="240" w:lineRule="auto"/>
        <w:jc w:val="both"/>
        <w:rPr>
          <w:rFonts w:ascii="Times New Roman" w:hAnsi="Times New Roman" w:cs="Times New Roman"/>
          <w:i/>
          <w:iCs/>
        </w:rPr>
      </w:pPr>
    </w:p>
    <w:p w14:paraId="7DE1BB61" w14:textId="2714411A"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rPr>
        <w:t>En este sentido, y con un gradual retorno a la normalidad, pudimos impulsar la responsabilidad social también internamente, logrando un mayor compromiso de nuestros colaboradores, quienes asumieron el protagonismo de ser impulsores del cambio, aportando ideas y proyectos para poder contribuir a la sustentabilidad, y que se encuentran enmarcados por</w:t>
      </w:r>
      <w:r w:rsidRPr="00FE5001">
        <w:rPr>
          <w:rFonts w:ascii="Times New Roman" w:hAnsi="Times New Roman" w:cs="Times New Roman"/>
          <w:i/>
          <w:iCs/>
          <w:lang w:val="es-ES"/>
        </w:rPr>
        <w:t xml:space="preserve"> la misión y visión de nuestra empresa y comprometidos con la triple creación de valor: económico, social y ambiental.</w:t>
      </w:r>
    </w:p>
    <w:p w14:paraId="011AC12E" w14:textId="77777777" w:rsidR="0094039E" w:rsidRPr="00FE5001" w:rsidRDefault="0094039E" w:rsidP="008E7002">
      <w:pPr>
        <w:shd w:val="clear" w:color="auto" w:fill="FFFFFF"/>
        <w:spacing w:after="0" w:line="240" w:lineRule="auto"/>
        <w:jc w:val="both"/>
        <w:rPr>
          <w:rFonts w:ascii="Times New Roman" w:hAnsi="Times New Roman" w:cs="Times New Roman"/>
          <w:i/>
          <w:iCs/>
          <w:color w:val="000000"/>
        </w:rPr>
      </w:pPr>
    </w:p>
    <w:p w14:paraId="57DE6B07" w14:textId="421E010A" w:rsidR="00563358" w:rsidRPr="00FE5001" w:rsidRDefault="00563358" w:rsidP="00FE5001">
      <w:pPr>
        <w:shd w:val="clear" w:color="auto" w:fill="FFFFFF"/>
        <w:spacing w:after="0" w:line="240" w:lineRule="auto"/>
        <w:jc w:val="both"/>
        <w:rPr>
          <w:rFonts w:ascii="Times New Roman" w:hAnsi="Times New Roman" w:cs="Times New Roman"/>
          <w:i/>
          <w:iCs/>
        </w:rPr>
      </w:pPr>
      <w:r w:rsidRPr="00FE5001">
        <w:rPr>
          <w:rFonts w:ascii="Times New Roman" w:hAnsi="Times New Roman" w:cs="Times New Roman"/>
          <w:i/>
          <w:iCs/>
          <w:color w:val="000000"/>
        </w:rPr>
        <w:t>El Grupo ha asumido el rol de “actor social empresario”, fiel a su tradición y trayectoria en el mercado a lo largo de 87 años, y al posicionamiento logrado en sus diferentes negocios, desarrollando una gestión integral de RSE</w:t>
      </w:r>
      <w:r w:rsidR="003C0793">
        <w:rPr>
          <w:rFonts w:ascii="Times New Roman" w:hAnsi="Times New Roman" w:cs="Times New Roman"/>
          <w:i/>
          <w:iCs/>
          <w:color w:val="000000"/>
        </w:rPr>
        <w:t>.</w:t>
      </w:r>
    </w:p>
    <w:p w14:paraId="3079A42F" w14:textId="77777777" w:rsidR="0094039E" w:rsidRPr="00FE5001" w:rsidRDefault="0094039E" w:rsidP="008E7002">
      <w:pPr>
        <w:shd w:val="clear" w:color="auto" w:fill="FFFFFF"/>
        <w:spacing w:after="0" w:line="240" w:lineRule="auto"/>
        <w:jc w:val="both"/>
        <w:rPr>
          <w:rFonts w:ascii="Times New Roman" w:hAnsi="Times New Roman" w:cs="Times New Roman"/>
          <w:i/>
          <w:iCs/>
          <w:color w:val="000000"/>
        </w:rPr>
      </w:pPr>
    </w:p>
    <w:p w14:paraId="0ABCCFE0" w14:textId="7DF16341" w:rsidR="00563358" w:rsidRPr="00FE5001" w:rsidRDefault="00563358" w:rsidP="00FE5001">
      <w:pPr>
        <w:shd w:val="clear" w:color="auto" w:fill="FFFFFF"/>
        <w:spacing w:after="0" w:line="240" w:lineRule="auto"/>
        <w:jc w:val="both"/>
        <w:rPr>
          <w:rFonts w:ascii="Times New Roman" w:hAnsi="Times New Roman" w:cs="Times New Roman"/>
          <w:i/>
          <w:iCs/>
        </w:rPr>
      </w:pPr>
      <w:r w:rsidRPr="00FE5001">
        <w:rPr>
          <w:rFonts w:ascii="Times New Roman" w:hAnsi="Times New Roman" w:cs="Times New Roman"/>
          <w:i/>
          <w:iCs/>
          <w:color w:val="000000"/>
        </w:rPr>
        <w:t>Hoy nos encontramos inmersos en numerosos procesos que nos enorgullecen como compañía, y nos desafían a su vez nuevas metas por alcanzar y logros por perseguir.</w:t>
      </w:r>
    </w:p>
    <w:p w14:paraId="074F353D" w14:textId="77777777" w:rsidR="0094039E" w:rsidRPr="00FE5001" w:rsidRDefault="0094039E" w:rsidP="008E7002">
      <w:pPr>
        <w:spacing w:after="0" w:line="240" w:lineRule="auto"/>
        <w:jc w:val="both"/>
        <w:rPr>
          <w:rFonts w:ascii="Times New Roman" w:hAnsi="Times New Roman" w:cs="Times New Roman"/>
          <w:i/>
          <w:iCs/>
        </w:rPr>
      </w:pPr>
    </w:p>
    <w:p w14:paraId="00FFF09E" w14:textId="56A15BE5" w:rsidR="0094039E" w:rsidRPr="00FE5001" w:rsidRDefault="00563358" w:rsidP="008E7002">
      <w:pPr>
        <w:spacing w:after="0" w:line="240" w:lineRule="auto"/>
        <w:jc w:val="both"/>
        <w:rPr>
          <w:rFonts w:ascii="Times New Roman" w:hAnsi="Times New Roman" w:cs="Times New Roman"/>
          <w:i/>
          <w:iCs/>
        </w:rPr>
      </w:pPr>
      <w:r w:rsidRPr="00FE5001">
        <w:rPr>
          <w:rFonts w:ascii="Times New Roman" w:hAnsi="Times New Roman" w:cs="Times New Roman"/>
          <w:i/>
          <w:iCs/>
        </w:rPr>
        <w:t>Nuestra gestión de RSE se canalizó a través de nuestros cuatro pilares estratégicos:</w:t>
      </w:r>
    </w:p>
    <w:p w14:paraId="087F802C" w14:textId="1F9DBA47" w:rsidR="00563358" w:rsidRPr="00FE5001" w:rsidRDefault="00563358" w:rsidP="00FE5001">
      <w:pPr>
        <w:spacing w:after="0" w:line="240" w:lineRule="auto"/>
        <w:jc w:val="both"/>
        <w:rPr>
          <w:rFonts w:ascii="Times New Roman" w:hAnsi="Times New Roman" w:cs="Times New Roman"/>
          <w:b/>
          <w:bCs/>
          <w:i/>
          <w:iCs/>
        </w:rPr>
      </w:pPr>
      <w:r w:rsidRPr="00FE5001">
        <w:rPr>
          <w:rFonts w:ascii="Times New Roman" w:hAnsi="Times New Roman" w:cs="Times New Roman"/>
          <w:i/>
          <w:iCs/>
        </w:rPr>
        <w:t xml:space="preserve"> </w:t>
      </w:r>
    </w:p>
    <w:p w14:paraId="1E64C984" w14:textId="77777777" w:rsidR="00563358" w:rsidRPr="00FE5001" w:rsidRDefault="00563358" w:rsidP="00FE5001">
      <w:pPr>
        <w:pStyle w:val="Prrafodelista"/>
        <w:numPr>
          <w:ilvl w:val="0"/>
          <w:numId w:val="8"/>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Educación: junto a la tecnología es una herramienta transformadora que permite igualar oportunidades.</w:t>
      </w:r>
    </w:p>
    <w:p w14:paraId="1B9382E7" w14:textId="77777777" w:rsidR="00563358" w:rsidRPr="00FE5001" w:rsidRDefault="00563358" w:rsidP="00FE5001">
      <w:pPr>
        <w:pStyle w:val="Prrafodelista"/>
        <w:numPr>
          <w:ilvl w:val="0"/>
          <w:numId w:val="8"/>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Trabajo: capacidad de generar empleo genuino y de calidad, prácticas inclusivas y diversas para promover la empleabilidad de las personas.</w:t>
      </w:r>
    </w:p>
    <w:p w14:paraId="0511A95E" w14:textId="77777777" w:rsidR="00563358" w:rsidRPr="00FE5001" w:rsidRDefault="00563358" w:rsidP="00FE5001">
      <w:pPr>
        <w:pStyle w:val="Prrafodelista"/>
        <w:numPr>
          <w:ilvl w:val="0"/>
          <w:numId w:val="8"/>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Salud y nutrición: impulsando el cuidado, la prevención y la calidad de vida de las comunidades más desprotegidas, en las geografías donde operamos.</w:t>
      </w:r>
    </w:p>
    <w:p w14:paraId="119B3FA3" w14:textId="77777777" w:rsidR="00563358" w:rsidRPr="00FE5001" w:rsidRDefault="00563358" w:rsidP="00FE5001">
      <w:pPr>
        <w:pStyle w:val="Prrafodelista"/>
        <w:numPr>
          <w:ilvl w:val="0"/>
          <w:numId w:val="8"/>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Medioambiente: convertirnos en agentes activos de un desarrollo sustentable y equilibrado.</w:t>
      </w:r>
    </w:p>
    <w:p w14:paraId="7968B2DA" w14:textId="77777777" w:rsidR="0094039E" w:rsidRPr="00FE5001" w:rsidRDefault="0094039E" w:rsidP="008E7002">
      <w:pPr>
        <w:spacing w:after="0" w:line="240" w:lineRule="auto"/>
        <w:jc w:val="both"/>
        <w:rPr>
          <w:rFonts w:ascii="Times New Roman" w:hAnsi="Times New Roman" w:cs="Times New Roman"/>
          <w:i/>
          <w:iCs/>
          <w:lang w:val="es-ES"/>
        </w:rPr>
      </w:pPr>
    </w:p>
    <w:p w14:paraId="0BE50472" w14:textId="75312516"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La inversión social de Boldt S.A., fue orientada a Instituciones Civiles sin fines de lucro, con alcance a más de 7.000 beneficiarios, entre niños, niñas, padres, madres, mujeres embarazadas, adolescentes, adultos, mayores, ancianos y ancianas.</w:t>
      </w:r>
    </w:p>
    <w:p w14:paraId="6BE82DAD" w14:textId="77777777" w:rsidR="00563358" w:rsidRPr="00FE5001" w:rsidRDefault="00563358" w:rsidP="00FE5001">
      <w:pPr>
        <w:spacing w:after="0" w:line="240" w:lineRule="auto"/>
        <w:jc w:val="both"/>
        <w:rPr>
          <w:rFonts w:ascii="Times New Roman" w:hAnsi="Times New Roman" w:cs="Times New Roman"/>
          <w:i/>
          <w:iCs/>
          <w:lang w:val="es-ES"/>
        </w:rPr>
      </w:pPr>
    </w:p>
    <w:p w14:paraId="452D42C1"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Sobre la base de triple creación de valor: social, económico y ambiental, hemos continuado apoyando muy activamente las acciones de la Cooperadora para la Nutrición Infantil (Fundación CONIN), a lo largo de todo el año en diversas áreas regionales y de manera integral, activa y permanente.</w:t>
      </w:r>
    </w:p>
    <w:p w14:paraId="7A8FEF7D" w14:textId="77777777" w:rsidR="0094039E" w:rsidRPr="00FE5001" w:rsidRDefault="0094039E" w:rsidP="00FE5001">
      <w:pPr>
        <w:spacing w:after="0" w:line="240" w:lineRule="auto"/>
        <w:jc w:val="both"/>
        <w:rPr>
          <w:rFonts w:ascii="Times New Roman" w:hAnsi="Times New Roman" w:cs="Times New Roman"/>
          <w:i/>
          <w:iCs/>
          <w:lang w:val="es-ES"/>
        </w:rPr>
      </w:pPr>
    </w:p>
    <w:p w14:paraId="23B3D2C4"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Las acciones materiales abarcan desde parte de la alimentación básica, hasta apoyo edilicio, si consideramos su presencia en más de 100 centros de prevención con funcionamiento en 18 provincias de Argentina.</w:t>
      </w:r>
    </w:p>
    <w:p w14:paraId="7971AE58" w14:textId="77777777" w:rsidR="0094039E" w:rsidRPr="00FE5001" w:rsidRDefault="0094039E" w:rsidP="00FE5001">
      <w:pPr>
        <w:spacing w:after="0" w:line="240" w:lineRule="auto"/>
        <w:jc w:val="both"/>
        <w:rPr>
          <w:rFonts w:ascii="Times New Roman" w:hAnsi="Times New Roman" w:cs="Times New Roman"/>
          <w:i/>
          <w:iCs/>
          <w:lang w:val="es-ES"/>
        </w:rPr>
      </w:pPr>
    </w:p>
    <w:p w14:paraId="3146C605"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 xml:space="preserve">Específicamente en la Provincia de Buenos Aires y bajo el lema colegio-club-capilla continuamos colaborando, con un alto grado de compromiso, hemos ayudado en la construcción de una escuela primaria parroquial, con una capacidad para 300 alumnos, en dos turnos, y otro tanto de adultos en talleres de oficios y educación para terminar distintos niveles de escolaridad por la tarde noche. Adicionalmente hemos colaborado en la construcción de un predio deportivo, con 4 canchas para diferentes actividades, dos espacios cerrados para encuentros familiares y deportivos y un polideportivo cerrado de gran envergadura, todo esto para atender a más de 2000 personas a lo largo de la semana, con diferentes tipos de actividades. Todo esto ha sido desarrollado para la escuela parroquial San José y complejo Polideportivo, que lleva el mismo </w:t>
      </w:r>
      <w:r w:rsidRPr="00FE5001">
        <w:rPr>
          <w:rFonts w:ascii="Times New Roman" w:hAnsi="Times New Roman" w:cs="Times New Roman"/>
          <w:i/>
          <w:iCs/>
          <w:lang w:val="es-ES"/>
        </w:rPr>
        <w:lastRenderedPageBreak/>
        <w:t>nombre, en la localidad de La Matanza, dando atención a los cuatro peores asentamientos del conurbano bonaerense, Puerta de Hierro, San Petersburgo, 17 marzo y 17 de marzo Bis.</w:t>
      </w:r>
    </w:p>
    <w:p w14:paraId="30F491CF" w14:textId="77777777" w:rsidR="007E0BAD" w:rsidRPr="00FE5001" w:rsidRDefault="007E0BAD" w:rsidP="00FE5001">
      <w:pPr>
        <w:spacing w:after="0" w:line="240" w:lineRule="auto"/>
        <w:jc w:val="both"/>
        <w:rPr>
          <w:rFonts w:ascii="Times New Roman" w:hAnsi="Times New Roman" w:cs="Times New Roman"/>
          <w:i/>
          <w:iCs/>
          <w:lang w:val="es-ES"/>
        </w:rPr>
      </w:pPr>
    </w:p>
    <w:p w14:paraId="1E584C09"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El corriente año continuamos colaborando con la fundación Un Techo para Argentina Asociación Civil con fuerte presencia en Latinoamérica y más de 20 países en toda la región participando con el personal de la Compañía activamente en la construcción de hogares generando inserción en los asentamientos de zonas marginadas, de esta forma generando conciencia colectiva e involucrando a la organización, construcciones realizadas también en la provincia de Buenos Aires.</w:t>
      </w:r>
    </w:p>
    <w:p w14:paraId="0C20045C" w14:textId="77777777" w:rsidR="0094039E" w:rsidRPr="00FE5001" w:rsidRDefault="0094039E" w:rsidP="00FE5001">
      <w:pPr>
        <w:spacing w:after="0" w:line="240" w:lineRule="auto"/>
        <w:jc w:val="both"/>
        <w:rPr>
          <w:rFonts w:ascii="Times New Roman" w:hAnsi="Times New Roman" w:cs="Times New Roman"/>
          <w:i/>
          <w:iCs/>
          <w:lang w:val="es-ES"/>
        </w:rPr>
      </w:pPr>
    </w:p>
    <w:p w14:paraId="3C08953C"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 xml:space="preserve">Boldt es parte de la mesa directiva del Fondo Solidario Empresas de Santa Fe: que aportó en el 2020 a través de campaña donación de alimentos y productos higiene por COVID-19 a 10 </w:t>
      </w:r>
      <w:proofErr w:type="spellStart"/>
      <w:r w:rsidRPr="00FE5001">
        <w:rPr>
          <w:rFonts w:ascii="Times New Roman" w:hAnsi="Times New Roman" w:cs="Times New Roman"/>
          <w:i/>
          <w:iCs/>
          <w:lang w:val="es-ES"/>
        </w:rPr>
        <w:t>ONG´s</w:t>
      </w:r>
      <w:proofErr w:type="spellEnd"/>
      <w:r w:rsidRPr="00FE5001">
        <w:rPr>
          <w:rFonts w:ascii="Times New Roman" w:hAnsi="Times New Roman" w:cs="Times New Roman"/>
          <w:i/>
          <w:iCs/>
          <w:lang w:val="es-ES"/>
        </w:rPr>
        <w:t xml:space="preserve"> locales y a 2.400 beneficiarios y también para mejorar infraestructura de 15 Instituciones Civiles sin fines de lucro locales. Desarrollo de la Web Donar Online junto con Mercado Pago.</w:t>
      </w:r>
    </w:p>
    <w:p w14:paraId="6498D81D" w14:textId="77777777" w:rsidR="0094039E" w:rsidRPr="00FE5001" w:rsidRDefault="0094039E" w:rsidP="00FE5001">
      <w:pPr>
        <w:spacing w:after="0" w:line="240" w:lineRule="auto"/>
        <w:jc w:val="both"/>
        <w:rPr>
          <w:rFonts w:ascii="Times New Roman" w:hAnsi="Times New Roman" w:cs="Times New Roman"/>
          <w:i/>
          <w:iCs/>
          <w:lang w:val="es-ES"/>
        </w:rPr>
      </w:pPr>
    </w:p>
    <w:p w14:paraId="540433A7" w14:textId="77777777" w:rsidR="00563358" w:rsidRPr="00FE5001" w:rsidRDefault="00563358" w:rsidP="00FE5001">
      <w:pPr>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Agradecemos a los siguientes receptores de RSE por dejarnos acompañarlos en su noble tarea social / comunitaria.</w:t>
      </w:r>
    </w:p>
    <w:p w14:paraId="403E731F"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 xml:space="preserve">Dentro de la fundación </w:t>
      </w:r>
      <w:proofErr w:type="spellStart"/>
      <w:r w:rsidRPr="00FE5001">
        <w:rPr>
          <w:rFonts w:ascii="Times New Roman" w:eastAsia="Times New Roman" w:hAnsi="Times New Roman" w:cs="Times New Roman"/>
          <w:i/>
          <w:iCs/>
          <w:lang w:val="es-ES"/>
        </w:rPr>
        <w:t>Conin</w:t>
      </w:r>
      <w:proofErr w:type="spellEnd"/>
      <w:r w:rsidRPr="00FE5001">
        <w:rPr>
          <w:rFonts w:ascii="Times New Roman" w:eastAsia="Times New Roman" w:hAnsi="Times New Roman" w:cs="Times New Roman"/>
          <w:i/>
          <w:iCs/>
          <w:lang w:val="es-ES"/>
        </w:rPr>
        <w:t>:</w:t>
      </w:r>
    </w:p>
    <w:p w14:paraId="36D343DB"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proofErr w:type="gramStart"/>
      <w:r w:rsidRPr="00FE5001">
        <w:rPr>
          <w:rFonts w:ascii="Times New Roman" w:eastAsia="Times New Roman" w:hAnsi="Times New Roman" w:cs="Times New Roman"/>
          <w:i/>
          <w:iCs/>
          <w:lang w:val="es-ES"/>
        </w:rPr>
        <w:t>Pro Asociación</w:t>
      </w:r>
      <w:proofErr w:type="gramEnd"/>
      <w:r w:rsidRPr="00FE5001">
        <w:rPr>
          <w:rFonts w:ascii="Times New Roman" w:eastAsia="Times New Roman" w:hAnsi="Times New Roman" w:cs="Times New Roman"/>
          <w:i/>
          <w:iCs/>
          <w:lang w:val="es-ES"/>
        </w:rPr>
        <w:t xml:space="preserve"> Cooperativa para la Nutrición, Gualeguay,</w:t>
      </w:r>
    </w:p>
    <w:p w14:paraId="61DEE8FF" w14:textId="692336F1"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Asociación Promover, Gualeguaychú</w:t>
      </w:r>
      <w:r w:rsidR="002C49E5">
        <w:rPr>
          <w:rFonts w:ascii="Times New Roman" w:eastAsia="Times New Roman" w:hAnsi="Times New Roman" w:cs="Times New Roman"/>
          <w:i/>
          <w:iCs/>
          <w:lang w:val="es-ES"/>
        </w:rPr>
        <w:t>- Red CONIN (Centro de Prevención de la Desnutrición Infantil y Promoción Humana</w:t>
      </w:r>
      <w:proofErr w:type="gramStart"/>
      <w:r w:rsidR="002C49E5">
        <w:rPr>
          <w:rFonts w:ascii="Times New Roman" w:eastAsia="Times New Roman" w:hAnsi="Times New Roman" w:cs="Times New Roman"/>
          <w:i/>
          <w:iCs/>
          <w:lang w:val="es-ES"/>
        </w:rPr>
        <w:t xml:space="preserve">) </w:t>
      </w:r>
      <w:r w:rsidRPr="00FE5001">
        <w:rPr>
          <w:rFonts w:ascii="Times New Roman" w:eastAsia="Times New Roman" w:hAnsi="Times New Roman" w:cs="Times New Roman"/>
          <w:i/>
          <w:iCs/>
          <w:lang w:val="es-ES"/>
        </w:rPr>
        <w:t>.</w:t>
      </w:r>
      <w:proofErr w:type="gramEnd"/>
    </w:p>
    <w:p w14:paraId="3F9D6091"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Asociación de amigos del jardín de María,</w:t>
      </w:r>
    </w:p>
    <w:p w14:paraId="138E8407"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Villaguay | Entre Ríos</w:t>
      </w:r>
    </w:p>
    <w:p w14:paraId="5D6BC2DA"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Además, colaboramos activamente en aquellas localidades donde la ONG tiene presencia</w:t>
      </w:r>
    </w:p>
    <w:p w14:paraId="0A1F1BE3" w14:textId="77777777" w:rsidR="00563358" w:rsidRPr="00FE5001" w:rsidRDefault="00563358" w:rsidP="00FE5001">
      <w:pPr>
        <w:pStyle w:val="Prrafodelista"/>
        <w:spacing w:after="0" w:line="240" w:lineRule="auto"/>
        <w:jc w:val="both"/>
        <w:rPr>
          <w:rFonts w:ascii="Times New Roman" w:hAnsi="Times New Roman" w:cs="Times New Roman"/>
          <w:i/>
          <w:iCs/>
          <w:lang w:val="es-ES"/>
        </w:rPr>
      </w:pPr>
      <w:r w:rsidRPr="00FE5001">
        <w:rPr>
          <w:rFonts w:ascii="Times New Roman" w:hAnsi="Times New Roman" w:cs="Times New Roman"/>
          <w:i/>
          <w:iCs/>
          <w:lang w:val="es-ES"/>
        </w:rPr>
        <w:t>física por medio de nuestras actividades</w:t>
      </w:r>
    </w:p>
    <w:p w14:paraId="667D7C26"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ALPI Asociación Civil (Buenos Aires / Nacional)</w:t>
      </w:r>
    </w:p>
    <w:p w14:paraId="7710AFD8"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Fundación Colegio San Martín de Tours (Buenos Aires)</w:t>
      </w:r>
    </w:p>
    <w:p w14:paraId="5636DCD7"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Familia Grande Cristo Obrero y Hogar de Ancianos Medalla Milagrosa, pertenecientes a la Parroquia San José de San Justo (Buenos Aires)</w:t>
      </w:r>
    </w:p>
    <w:p w14:paraId="11C30930"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Universidad Nacional Del Litoral (Santa Fe)</w:t>
      </w:r>
    </w:p>
    <w:p w14:paraId="02442B31"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Colegio Madre Teresa (Buenos Aires)</w:t>
      </w:r>
    </w:p>
    <w:p w14:paraId="0C39A57C"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TECHO (Buenos Aires)</w:t>
      </w:r>
    </w:p>
    <w:p w14:paraId="1A8E3FBF"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proofErr w:type="spellStart"/>
      <w:r w:rsidRPr="00FE5001">
        <w:rPr>
          <w:rFonts w:ascii="Times New Roman" w:eastAsia="Times New Roman" w:hAnsi="Times New Roman" w:cs="Times New Roman"/>
          <w:i/>
          <w:iCs/>
          <w:lang w:val="es-ES"/>
        </w:rPr>
        <w:t>Hospice</w:t>
      </w:r>
      <w:proofErr w:type="spellEnd"/>
      <w:r w:rsidRPr="00FE5001">
        <w:rPr>
          <w:rFonts w:ascii="Times New Roman" w:eastAsia="Times New Roman" w:hAnsi="Times New Roman" w:cs="Times New Roman"/>
          <w:i/>
          <w:iCs/>
          <w:lang w:val="es-ES"/>
        </w:rPr>
        <w:t xml:space="preserve"> el Buen Samaritano (Buenos Aires)</w:t>
      </w:r>
    </w:p>
    <w:p w14:paraId="5E30479C" w14:textId="77777777" w:rsidR="00563358" w:rsidRPr="00FE5001"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Haciendo Camino (Chaco, Santiago del Estero, Buenos Aires)</w:t>
      </w:r>
    </w:p>
    <w:p w14:paraId="7D381654" w14:textId="13A34163" w:rsidR="00563358" w:rsidRDefault="00563358" w:rsidP="00FE5001">
      <w:pPr>
        <w:pStyle w:val="Prrafodelista"/>
        <w:numPr>
          <w:ilvl w:val="0"/>
          <w:numId w:val="9"/>
        </w:numPr>
        <w:spacing w:after="0" w:line="240" w:lineRule="auto"/>
        <w:jc w:val="both"/>
        <w:rPr>
          <w:rFonts w:ascii="Times New Roman" w:eastAsia="Times New Roman" w:hAnsi="Times New Roman" w:cs="Times New Roman"/>
          <w:i/>
          <w:iCs/>
          <w:lang w:val="es-ES"/>
        </w:rPr>
      </w:pPr>
      <w:r w:rsidRPr="00FE5001">
        <w:rPr>
          <w:rFonts w:ascii="Times New Roman" w:eastAsia="Times New Roman" w:hAnsi="Times New Roman" w:cs="Times New Roman"/>
          <w:i/>
          <w:iCs/>
          <w:lang w:val="es-ES"/>
        </w:rPr>
        <w:t>Pata Pila Asociación Civil Franciscana</w:t>
      </w:r>
    </w:p>
    <w:p w14:paraId="79103EF0" w14:textId="6D93A6CA" w:rsidR="002C49E5" w:rsidRPr="002C49E5" w:rsidRDefault="002C49E5" w:rsidP="002C49E5">
      <w:pPr>
        <w:pStyle w:val="Prrafodelista"/>
        <w:numPr>
          <w:ilvl w:val="0"/>
          <w:numId w:val="9"/>
        </w:numPr>
        <w:spacing w:line="252"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 xml:space="preserve">Talentos para la vida </w:t>
      </w:r>
    </w:p>
    <w:bookmarkEnd w:id="25"/>
    <w:p w14:paraId="6D55F980" w14:textId="77777777" w:rsidR="005D597D" w:rsidRPr="00FE5001" w:rsidRDefault="005D597D" w:rsidP="008E7002">
      <w:pPr>
        <w:keepNext/>
        <w:spacing w:after="0" w:line="240" w:lineRule="auto"/>
        <w:jc w:val="both"/>
        <w:outlineLvl w:val="0"/>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POLITICA AMBIENTAL Y SUSTENTABILIDAD</w:t>
      </w:r>
    </w:p>
    <w:p w14:paraId="16518EA6"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51DA468D"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El cuidado del medio ambiente continúa siendo preocupación central de la Compañía. Mucho antes de la generalización de normas y procedimientos y como marco de sus actividades, se operó activamente como inscripto en el tratamiento de residuos peligrosos, tanto a nivel nacional como en el ámbito de la Ciudad Autónoma de Buenos Aires y se continúa cumpliendo con estricto apego a las normas en vigencia </w:t>
      </w:r>
      <w:proofErr w:type="gramStart"/>
      <w:r w:rsidRPr="00FE5001">
        <w:rPr>
          <w:rFonts w:ascii="Times New Roman" w:eastAsia="Times New Roman" w:hAnsi="Times New Roman" w:cs="Times New Roman"/>
          <w:i/>
          <w:lang w:val="es-ES" w:eastAsia="es-ES"/>
        </w:rPr>
        <w:t>en relación a</w:t>
      </w:r>
      <w:proofErr w:type="gramEnd"/>
      <w:r w:rsidRPr="00FE5001">
        <w:rPr>
          <w:rFonts w:ascii="Times New Roman" w:eastAsia="Times New Roman" w:hAnsi="Times New Roman" w:cs="Times New Roman"/>
          <w:i/>
          <w:lang w:val="es-ES" w:eastAsia="es-ES"/>
        </w:rPr>
        <w:t xml:space="preserve"> todo aquello que nos compete en los aspectos reglamentados.</w:t>
      </w:r>
    </w:p>
    <w:p w14:paraId="3DD17DAB"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28CED8EC"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Estamos convencidos que la estrategia de sustentabilidad se basa en la construcción de relaciones estrechas y de largo plazo con nuestros clientes, el control del desempeño medioambiental de nuestras operaciones y la gestión de los impactos directos e indirectos de nuestra actividad. Todos estos aspectos forman parte de nuestra rutina diaria, buscando siempre la excelencia, la disciplina de costos y la eficiencia de procesos.</w:t>
      </w:r>
    </w:p>
    <w:p w14:paraId="22649A5F"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0882F0AD"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lastRenderedPageBreak/>
        <w:t>La dirección de la empresa define la política que rige los aspectos de nuestro sistema de gestión ambiental, estipulando los siguientes compromisos de acción:</w:t>
      </w:r>
    </w:p>
    <w:p w14:paraId="2257DF3C"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201BD817" w14:textId="77777777" w:rsidR="005D597D" w:rsidRPr="00FE5001" w:rsidRDefault="005D597D" w:rsidP="00FE5001">
      <w:pPr>
        <w:numPr>
          <w:ilvl w:val="0"/>
          <w:numId w:val="4"/>
        </w:numPr>
        <w:tabs>
          <w:tab w:val="clear" w:pos="720"/>
        </w:tabs>
        <w:spacing w:after="0" w:line="240" w:lineRule="auto"/>
        <w:ind w:left="567" w:hanging="141"/>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Controlar el impacto de nuestras actividades y de los productos y servicios que proveemos, sobre aquellos aspectos relacionados con la protección del medio ambiente y prevención de la contaminación identificables por la empresa y en los que podamos tener influencia.</w:t>
      </w:r>
    </w:p>
    <w:p w14:paraId="673DB548" w14:textId="77777777" w:rsidR="005D597D" w:rsidRPr="00FE5001" w:rsidRDefault="005D597D" w:rsidP="00FE5001">
      <w:pPr>
        <w:spacing w:after="0" w:line="240" w:lineRule="auto"/>
        <w:ind w:left="567" w:hanging="141"/>
        <w:jc w:val="both"/>
        <w:rPr>
          <w:rFonts w:ascii="Times New Roman" w:eastAsia="Times New Roman" w:hAnsi="Times New Roman" w:cs="Times New Roman"/>
          <w:i/>
          <w:lang w:val="es-ES" w:eastAsia="es-ES"/>
        </w:rPr>
      </w:pPr>
    </w:p>
    <w:p w14:paraId="45607D92" w14:textId="77777777" w:rsidR="005D597D" w:rsidRPr="00FE5001" w:rsidRDefault="005D597D" w:rsidP="00FE5001">
      <w:pPr>
        <w:numPr>
          <w:ilvl w:val="0"/>
          <w:numId w:val="4"/>
        </w:numPr>
        <w:tabs>
          <w:tab w:val="clear" w:pos="720"/>
        </w:tabs>
        <w:spacing w:after="0" w:line="240" w:lineRule="auto"/>
        <w:ind w:left="567" w:hanging="141"/>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Apegarnos al estricto cumplimiento de las leyes, reglamentos y demás normas nacionales relacionadas con el control y la protección del medio ambiente, en los requisitos que apliquen a la Compañía.</w:t>
      </w:r>
    </w:p>
    <w:p w14:paraId="21BE31E4" w14:textId="77777777" w:rsidR="005D597D" w:rsidRPr="00FE5001" w:rsidRDefault="005D597D" w:rsidP="00FE5001">
      <w:pPr>
        <w:spacing w:after="0" w:line="240" w:lineRule="auto"/>
        <w:ind w:left="567" w:hanging="141"/>
        <w:jc w:val="both"/>
        <w:rPr>
          <w:rFonts w:ascii="Times New Roman" w:eastAsia="Times New Roman" w:hAnsi="Times New Roman" w:cs="Times New Roman"/>
          <w:i/>
          <w:lang w:val="es-ES" w:eastAsia="es-ES"/>
        </w:rPr>
      </w:pPr>
    </w:p>
    <w:p w14:paraId="188CC83B" w14:textId="77777777" w:rsidR="005D597D" w:rsidRPr="00FE5001" w:rsidRDefault="005D597D" w:rsidP="00FE5001">
      <w:pPr>
        <w:numPr>
          <w:ilvl w:val="0"/>
          <w:numId w:val="4"/>
        </w:numPr>
        <w:tabs>
          <w:tab w:val="clear" w:pos="720"/>
        </w:tabs>
        <w:spacing w:after="0" w:line="240" w:lineRule="auto"/>
        <w:ind w:left="567" w:hanging="141"/>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Buscar y mantener la satisfacción de nuestros clientes, al cumplir con los requisitos ambientales especificados y acordados en aquellos trabajos que nos sean otorgados.</w:t>
      </w:r>
    </w:p>
    <w:p w14:paraId="6BEA2F16" w14:textId="77777777" w:rsidR="005D597D" w:rsidRPr="00FE5001" w:rsidRDefault="005D597D" w:rsidP="00FE5001">
      <w:pPr>
        <w:spacing w:after="0" w:line="240" w:lineRule="auto"/>
        <w:ind w:left="567" w:hanging="141"/>
        <w:jc w:val="both"/>
        <w:rPr>
          <w:rFonts w:ascii="Times New Roman" w:eastAsia="Times New Roman" w:hAnsi="Times New Roman" w:cs="Times New Roman"/>
          <w:i/>
          <w:lang w:val="es-ES" w:eastAsia="es-ES"/>
        </w:rPr>
      </w:pPr>
    </w:p>
    <w:p w14:paraId="121D4CEA" w14:textId="683CC3FD" w:rsidR="005D597D" w:rsidRPr="00FE5001" w:rsidRDefault="005D597D" w:rsidP="00FE5001">
      <w:pPr>
        <w:numPr>
          <w:ilvl w:val="0"/>
          <w:numId w:val="4"/>
        </w:numPr>
        <w:tabs>
          <w:tab w:val="clear" w:pos="720"/>
        </w:tabs>
        <w:spacing w:after="0" w:line="240" w:lineRule="auto"/>
        <w:ind w:left="567" w:hanging="141"/>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Desarrollar </w:t>
      </w:r>
      <w:r w:rsidR="00801255" w:rsidRPr="00FE5001">
        <w:rPr>
          <w:rFonts w:ascii="Times New Roman" w:eastAsia="Times New Roman" w:hAnsi="Times New Roman" w:cs="Times New Roman"/>
          <w:i/>
          <w:lang w:val="es-ES" w:eastAsia="es-ES"/>
        </w:rPr>
        <w:t xml:space="preserve">canales de </w:t>
      </w:r>
      <w:r w:rsidRPr="00FE5001">
        <w:rPr>
          <w:rFonts w:ascii="Times New Roman" w:eastAsia="Times New Roman" w:hAnsi="Times New Roman" w:cs="Times New Roman"/>
          <w:i/>
          <w:lang w:val="es-ES" w:eastAsia="es-ES"/>
        </w:rPr>
        <w:t>concientización y capacitación de nuestro personal sobre las obligaciones y responsabilidades inherentes al ambiente y entorno, y hacerlos partícipes de la vigilancia para que esta política sobre el ambiente sea efectiva</w:t>
      </w:r>
    </w:p>
    <w:p w14:paraId="236027AF" w14:textId="77777777" w:rsidR="005D597D" w:rsidRPr="00FE5001" w:rsidRDefault="005D597D" w:rsidP="00FE5001">
      <w:pPr>
        <w:spacing w:after="0" w:line="240" w:lineRule="auto"/>
        <w:ind w:left="567" w:hanging="141"/>
        <w:jc w:val="both"/>
        <w:rPr>
          <w:rFonts w:ascii="Times New Roman" w:eastAsia="Times New Roman" w:hAnsi="Times New Roman" w:cs="Times New Roman"/>
          <w:b/>
          <w:i/>
          <w:lang w:val="es-ES" w:eastAsia="es-ES"/>
        </w:rPr>
      </w:pPr>
      <w:bookmarkStart w:id="26" w:name="_Hlk534385469"/>
      <w:bookmarkStart w:id="27" w:name="_Hlk534388067"/>
    </w:p>
    <w:p w14:paraId="3ADF1FFE" w14:textId="77777777" w:rsidR="005D597D" w:rsidRPr="00FE5001" w:rsidRDefault="005D597D" w:rsidP="008E7002">
      <w:pPr>
        <w:spacing w:after="0" w:line="240" w:lineRule="auto"/>
        <w:jc w:val="both"/>
        <w:rPr>
          <w:rFonts w:ascii="Times New Roman" w:eastAsia="Times New Roman" w:hAnsi="Times New Roman" w:cs="Times New Roman"/>
          <w:b/>
          <w:i/>
          <w:lang w:val="es-ES" w:eastAsia="es-ES"/>
        </w:rPr>
      </w:pPr>
      <w:r w:rsidRPr="00FE5001">
        <w:rPr>
          <w:rFonts w:ascii="Times New Roman" w:eastAsia="Times New Roman" w:hAnsi="Times New Roman" w:cs="Times New Roman"/>
          <w:b/>
          <w:i/>
          <w:lang w:val="es-ES" w:eastAsia="es-ES"/>
        </w:rPr>
        <w:t>REGIMEN DE TRANSPARENCIA DE LA OFERTA PÚBLICA</w:t>
      </w:r>
    </w:p>
    <w:bookmarkEnd w:id="26"/>
    <w:p w14:paraId="1CDB2EB0" w14:textId="77777777" w:rsidR="005D597D" w:rsidRPr="00FE5001" w:rsidRDefault="005D597D" w:rsidP="008E7002">
      <w:pPr>
        <w:spacing w:after="0" w:line="240" w:lineRule="auto"/>
        <w:jc w:val="both"/>
        <w:rPr>
          <w:rFonts w:ascii="Times New Roman" w:eastAsia="Times New Roman" w:hAnsi="Times New Roman" w:cs="Times New Roman"/>
          <w:b/>
          <w:i/>
          <w:lang w:val="es-ES" w:eastAsia="es-ES"/>
        </w:rPr>
      </w:pPr>
    </w:p>
    <w:p w14:paraId="1F9AE07E" w14:textId="083378C5" w:rsidR="005D597D" w:rsidRPr="00FE5001" w:rsidRDefault="00801255"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Boldt </w:t>
      </w:r>
      <w:r w:rsidR="005D597D" w:rsidRPr="00FE5001">
        <w:rPr>
          <w:rFonts w:ascii="Times New Roman" w:eastAsia="Times New Roman" w:hAnsi="Times New Roman" w:cs="Times New Roman"/>
          <w:i/>
          <w:lang w:val="es-ES" w:eastAsia="es-ES"/>
        </w:rPr>
        <w:t xml:space="preserve">fue homenajeada por el 75° aniversario de cotizar sus acciones de manera ininterrumpida en la Bolsa de Comercio de Buenos Aires. Dicho homenaje tuvo lugar en el acto de celebración del 166° Aniversario de la Bolsa de Comercio de Buenos Aires que se realizó de manera virtual el día 15 de julio de 2020 y en el cual se entregó un premio destacando su trayectoria en el recinto. </w:t>
      </w:r>
      <w:r w:rsidRPr="00FE5001">
        <w:rPr>
          <w:rFonts w:ascii="Times New Roman" w:eastAsia="Times New Roman" w:hAnsi="Times New Roman" w:cs="Times New Roman"/>
          <w:i/>
          <w:lang w:val="es-ES" w:eastAsia="es-ES"/>
        </w:rPr>
        <w:t xml:space="preserve">Boldt </w:t>
      </w:r>
      <w:r w:rsidR="005D597D" w:rsidRPr="00FE5001">
        <w:rPr>
          <w:rFonts w:ascii="Times New Roman" w:eastAsia="Times New Roman" w:hAnsi="Times New Roman" w:cs="Times New Roman"/>
          <w:i/>
          <w:lang w:val="es-ES" w:eastAsia="es-ES"/>
        </w:rPr>
        <w:t>S.A. es una compañía argentina pública líder que siempre se ha destacado por su transparencia y su constante esfuerzo por alcanzar los más altos estándares de calidad y excelencia en todas las actividades que emprende</w:t>
      </w:r>
      <w:r w:rsidR="003F2322">
        <w:rPr>
          <w:rFonts w:ascii="Times New Roman" w:eastAsia="Times New Roman" w:hAnsi="Times New Roman" w:cs="Times New Roman"/>
          <w:i/>
          <w:lang w:val="es-ES" w:eastAsia="es-ES"/>
        </w:rPr>
        <w:t>.</w:t>
      </w:r>
    </w:p>
    <w:p w14:paraId="71DD596C"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53BC791F"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roofErr w:type="gramStart"/>
      <w:r w:rsidRPr="00FE5001">
        <w:rPr>
          <w:rFonts w:ascii="Times New Roman" w:eastAsia="Times New Roman" w:hAnsi="Times New Roman" w:cs="Times New Roman"/>
          <w:i/>
          <w:lang w:val="es-ES" w:eastAsia="es-ES"/>
        </w:rPr>
        <w:t>En relación a</w:t>
      </w:r>
      <w:proofErr w:type="gramEnd"/>
      <w:r w:rsidRPr="00FE5001">
        <w:rPr>
          <w:rFonts w:ascii="Times New Roman" w:eastAsia="Times New Roman" w:hAnsi="Times New Roman" w:cs="Times New Roman"/>
          <w:i/>
          <w:lang w:val="es-ES" w:eastAsia="es-ES"/>
        </w:rPr>
        <w:t xml:space="preserve"> la información adicional requerida por el Decreto Reglamentario </w:t>
      </w:r>
      <w:proofErr w:type="spellStart"/>
      <w:r w:rsidRPr="00FE5001">
        <w:rPr>
          <w:rFonts w:ascii="Times New Roman" w:eastAsia="Times New Roman" w:hAnsi="Times New Roman" w:cs="Times New Roman"/>
          <w:i/>
          <w:lang w:val="es-ES" w:eastAsia="es-ES"/>
        </w:rPr>
        <w:t>N°</w:t>
      </w:r>
      <w:proofErr w:type="spellEnd"/>
      <w:r w:rsidRPr="00FE5001">
        <w:rPr>
          <w:rFonts w:ascii="Times New Roman" w:eastAsia="Times New Roman" w:hAnsi="Times New Roman" w:cs="Times New Roman"/>
          <w:i/>
          <w:lang w:val="es-ES" w:eastAsia="es-ES"/>
        </w:rPr>
        <w:t xml:space="preserve"> 1023/13 denominado “Régimen de Transparencia de la Oferta Pública”, se informa:</w:t>
      </w:r>
    </w:p>
    <w:p w14:paraId="007F81E4"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36A6C352"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En lo que respecta a aspectos relevantes de la planificación empresaria vinculados a la política comercial, financiera y de inversiones, involucrados en el proceso de toma de decisiones, nos remitimos a los puntos pertinentes de la presente Memoria.</w:t>
      </w:r>
    </w:p>
    <w:p w14:paraId="36A0032C"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33A680E2" w14:textId="6FD942EA" w:rsidR="005D597D" w:rsidRPr="00FE5001" w:rsidRDefault="005D597D" w:rsidP="008E7002">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En los aspectos vinculados a la organización, la toma de decisiones y el control interno, la Compañía</w:t>
      </w:r>
      <w:r w:rsidRPr="00FE5001" w:rsidDel="007C2C8F">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tiene una organización de tipo piramidal, con responsables por área, estando la dirección y administración de la Compañía</w:t>
      </w:r>
      <w:r w:rsidRPr="00FE5001" w:rsidDel="007C2C8F">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a cargo de</w:t>
      </w:r>
      <w:r w:rsidR="00367234" w:rsidRPr="00FE5001">
        <w:rPr>
          <w:rFonts w:ascii="Times New Roman" w:eastAsia="Times New Roman" w:hAnsi="Times New Roman" w:cs="Times New Roman"/>
          <w:i/>
          <w:lang w:val="es-ES" w:eastAsia="es-ES"/>
        </w:rPr>
        <w:t>l Directorio compuesto por</w:t>
      </w:r>
      <w:r w:rsidRPr="00FE5001">
        <w:rPr>
          <w:rFonts w:ascii="Times New Roman" w:eastAsia="Times New Roman" w:hAnsi="Times New Roman" w:cs="Times New Roman"/>
          <w:i/>
          <w:lang w:val="es-ES" w:eastAsia="es-ES"/>
        </w:rPr>
        <w:t xml:space="preserve"> ocho </w:t>
      </w:r>
      <w:r w:rsidR="00367234" w:rsidRPr="00FE5001">
        <w:rPr>
          <w:rFonts w:ascii="Times New Roman" w:eastAsia="Times New Roman" w:hAnsi="Times New Roman" w:cs="Times New Roman"/>
          <w:i/>
          <w:lang w:val="es-ES" w:eastAsia="es-ES"/>
        </w:rPr>
        <w:t>d</w:t>
      </w:r>
      <w:r w:rsidRPr="00FE5001">
        <w:rPr>
          <w:rFonts w:ascii="Times New Roman" w:eastAsia="Times New Roman" w:hAnsi="Times New Roman" w:cs="Times New Roman"/>
          <w:i/>
          <w:lang w:val="es-ES" w:eastAsia="es-ES"/>
        </w:rPr>
        <w:t xml:space="preserve">irectores </w:t>
      </w:r>
      <w:r w:rsidR="00367234" w:rsidRPr="00FE5001">
        <w:rPr>
          <w:rFonts w:ascii="Times New Roman" w:eastAsia="Times New Roman" w:hAnsi="Times New Roman" w:cs="Times New Roman"/>
          <w:i/>
          <w:lang w:val="es-ES" w:eastAsia="es-ES"/>
        </w:rPr>
        <w:t>t</w:t>
      </w:r>
      <w:r w:rsidRPr="00FE5001">
        <w:rPr>
          <w:rFonts w:ascii="Times New Roman" w:eastAsia="Times New Roman" w:hAnsi="Times New Roman" w:cs="Times New Roman"/>
          <w:i/>
          <w:lang w:val="es-ES" w:eastAsia="es-ES"/>
        </w:rPr>
        <w:t xml:space="preserve">itulares y </w:t>
      </w:r>
      <w:r w:rsidR="00367234" w:rsidRPr="00FE5001">
        <w:rPr>
          <w:rFonts w:ascii="Times New Roman" w:eastAsia="Times New Roman" w:hAnsi="Times New Roman" w:cs="Times New Roman"/>
          <w:i/>
          <w:lang w:val="es-ES" w:eastAsia="es-ES"/>
        </w:rPr>
        <w:t>tres d</w:t>
      </w:r>
      <w:r w:rsidRPr="00FE5001">
        <w:rPr>
          <w:rFonts w:ascii="Times New Roman" w:eastAsia="Times New Roman" w:hAnsi="Times New Roman" w:cs="Times New Roman"/>
          <w:i/>
          <w:lang w:val="es-ES" w:eastAsia="es-ES"/>
        </w:rPr>
        <w:t xml:space="preserve">irectores </w:t>
      </w:r>
      <w:r w:rsidR="00367234" w:rsidRPr="00FE5001">
        <w:rPr>
          <w:rFonts w:ascii="Times New Roman" w:eastAsia="Times New Roman" w:hAnsi="Times New Roman" w:cs="Times New Roman"/>
          <w:i/>
          <w:lang w:val="es-ES" w:eastAsia="es-ES"/>
        </w:rPr>
        <w:t>s</w:t>
      </w:r>
      <w:r w:rsidRPr="00FE5001">
        <w:rPr>
          <w:rFonts w:ascii="Times New Roman" w:eastAsia="Times New Roman" w:hAnsi="Times New Roman" w:cs="Times New Roman"/>
          <w:i/>
          <w:lang w:val="es-ES" w:eastAsia="es-ES"/>
        </w:rPr>
        <w:t xml:space="preserve">uplentes, las decisiones de tipo político o aquellas inherentes al órgano de administración y las decisiones estratégico-operativas, son adoptadas por los directores designados como titulares, quienes desempeñan funciones en su calidad de directores gerentes, o en el Comité de Auditoría, con dedicación exclusiva, permanente o </w:t>
      </w:r>
      <w:proofErr w:type="spellStart"/>
      <w:r w:rsidRPr="00FE5001">
        <w:rPr>
          <w:rFonts w:ascii="Times New Roman" w:eastAsia="Times New Roman" w:hAnsi="Times New Roman" w:cs="Times New Roman"/>
          <w:i/>
          <w:lang w:val="es-ES" w:eastAsia="es-ES"/>
        </w:rPr>
        <w:t>part</w:t>
      </w:r>
      <w:proofErr w:type="spellEnd"/>
      <w:r w:rsidRPr="00FE5001">
        <w:rPr>
          <w:rFonts w:ascii="Times New Roman" w:eastAsia="Times New Roman" w:hAnsi="Times New Roman" w:cs="Times New Roman"/>
          <w:i/>
          <w:lang w:val="es-ES" w:eastAsia="es-ES"/>
        </w:rPr>
        <w:t xml:space="preserve">-time. </w:t>
      </w:r>
      <w:proofErr w:type="gramStart"/>
      <w:r w:rsidRPr="00FE5001">
        <w:rPr>
          <w:rFonts w:ascii="Times New Roman" w:eastAsia="Times New Roman" w:hAnsi="Times New Roman" w:cs="Times New Roman"/>
          <w:i/>
          <w:lang w:val="es-ES" w:eastAsia="es-ES"/>
        </w:rPr>
        <w:t>De acuerdo a</w:t>
      </w:r>
      <w:proofErr w:type="gramEnd"/>
      <w:r w:rsidRPr="00FE5001">
        <w:rPr>
          <w:rFonts w:ascii="Times New Roman" w:eastAsia="Times New Roman" w:hAnsi="Times New Roman" w:cs="Times New Roman"/>
          <w:i/>
          <w:lang w:val="es-ES" w:eastAsia="es-ES"/>
        </w:rPr>
        <w:t xml:space="preserve"> lo prescripto en la Sección IV, Art. 109° de la Ley de Mercado de Capitales Nro. 26.831, se ha constituido formalmente el Comité de Auditoría allí mencionado, integrado por tres miembros titulares y tres suplentes, reuniendo la mayoría de ellos el carácter de independencia solicitado en dicha norma. La Compañía</w:t>
      </w:r>
      <w:r w:rsidRPr="00FE5001" w:rsidDel="007C2C8F">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 xml:space="preserve">cuenta con sistemas de información que permiten lograr una adecuada registración de todos los hechos económicos en que interviene; con un sistema de control interno acorde a la operatoria y estructura de </w:t>
      </w:r>
      <w:proofErr w:type="gramStart"/>
      <w:r w:rsidRPr="00FE5001">
        <w:rPr>
          <w:rFonts w:ascii="Times New Roman" w:eastAsia="Times New Roman" w:hAnsi="Times New Roman" w:cs="Times New Roman"/>
          <w:i/>
          <w:lang w:val="es-ES" w:eastAsia="es-ES"/>
        </w:rPr>
        <w:t>la misma</w:t>
      </w:r>
      <w:proofErr w:type="gramEnd"/>
      <w:r w:rsidRPr="00FE5001">
        <w:rPr>
          <w:rFonts w:ascii="Times New Roman" w:eastAsia="Times New Roman" w:hAnsi="Times New Roman" w:cs="Times New Roman"/>
          <w:i/>
          <w:lang w:val="es-ES" w:eastAsia="es-ES"/>
        </w:rPr>
        <w:t>, brindando información a los responsables que permite el seguimiento del cumplimiento de los objetivos de cada área y el análisis de los desvíos.</w:t>
      </w:r>
    </w:p>
    <w:p w14:paraId="15AB2609" w14:textId="77777777" w:rsidR="005D597D" w:rsidRPr="00FE5001" w:rsidRDefault="005D597D" w:rsidP="008E7002">
      <w:pPr>
        <w:spacing w:after="0" w:line="240" w:lineRule="auto"/>
        <w:jc w:val="both"/>
        <w:rPr>
          <w:rFonts w:ascii="Times New Roman" w:eastAsia="Times New Roman" w:hAnsi="Times New Roman" w:cs="Times New Roman"/>
          <w:i/>
          <w:lang w:val="es-ES" w:eastAsia="es-ES"/>
        </w:rPr>
      </w:pPr>
    </w:p>
    <w:p w14:paraId="61DEE921" w14:textId="140F4067" w:rsidR="005D597D" w:rsidRPr="00FE5001" w:rsidRDefault="005D597D" w:rsidP="008E7002">
      <w:pPr>
        <w:spacing w:after="0" w:line="240" w:lineRule="auto"/>
        <w:jc w:val="both"/>
        <w:rPr>
          <w:rFonts w:ascii="Times New Roman" w:eastAsia="Times New Roman" w:hAnsi="Times New Roman" w:cs="Times New Roman"/>
          <w:b/>
          <w:i/>
          <w:lang w:eastAsia="es-ES"/>
        </w:rPr>
      </w:pPr>
      <w:r w:rsidRPr="00FE5001">
        <w:rPr>
          <w:rFonts w:ascii="Times New Roman" w:eastAsia="Times New Roman" w:hAnsi="Times New Roman" w:cs="Times New Roman"/>
          <w:i/>
          <w:lang w:val="es-ES" w:eastAsia="es-ES"/>
        </w:rPr>
        <w:t>La Compañía</w:t>
      </w:r>
      <w:r w:rsidRPr="00FE5001" w:rsidDel="007C2C8F">
        <w:rPr>
          <w:rFonts w:ascii="Times New Roman" w:eastAsia="Times New Roman" w:hAnsi="Times New Roman" w:cs="Times New Roman"/>
          <w:i/>
          <w:lang w:val="es-ES" w:eastAsia="es-ES"/>
        </w:rPr>
        <w:t xml:space="preserve"> </w:t>
      </w:r>
      <w:r w:rsidRPr="00FE5001">
        <w:rPr>
          <w:rFonts w:ascii="Times New Roman" w:eastAsia="Times New Roman" w:hAnsi="Times New Roman" w:cs="Times New Roman"/>
          <w:i/>
          <w:lang w:val="es-ES" w:eastAsia="es-ES"/>
        </w:rPr>
        <w:t xml:space="preserve">no cuenta con planes de opciones para las remuneraciones de directores ni gerentes. Los honorarios de los miembros del </w:t>
      </w:r>
      <w:r w:rsidR="00367234" w:rsidRPr="00FE5001">
        <w:rPr>
          <w:rFonts w:ascii="Times New Roman" w:eastAsia="Times New Roman" w:hAnsi="Times New Roman" w:cs="Times New Roman"/>
          <w:i/>
          <w:lang w:val="es-ES" w:eastAsia="es-ES"/>
        </w:rPr>
        <w:t>D</w:t>
      </w:r>
      <w:r w:rsidRPr="00FE5001">
        <w:rPr>
          <w:rFonts w:ascii="Times New Roman" w:eastAsia="Times New Roman" w:hAnsi="Times New Roman" w:cs="Times New Roman"/>
          <w:i/>
          <w:lang w:val="es-ES" w:eastAsia="es-ES"/>
        </w:rPr>
        <w:t xml:space="preserve">irectorio se establecen anualmente a través de un quantum fijo. Las remuneraciones de los </w:t>
      </w:r>
      <w:r w:rsidR="00367234" w:rsidRPr="00FE5001">
        <w:rPr>
          <w:rFonts w:ascii="Times New Roman" w:eastAsia="Times New Roman" w:hAnsi="Times New Roman" w:cs="Times New Roman"/>
          <w:i/>
          <w:lang w:val="es-ES" w:eastAsia="es-ES"/>
        </w:rPr>
        <w:t>directores</w:t>
      </w:r>
      <w:r w:rsidRPr="00FE5001">
        <w:rPr>
          <w:rFonts w:ascii="Times New Roman" w:eastAsia="Times New Roman" w:hAnsi="Times New Roman" w:cs="Times New Roman"/>
          <w:i/>
          <w:lang w:val="es-ES" w:eastAsia="es-ES"/>
        </w:rPr>
        <w:t xml:space="preserve"> gerentes son fijas, como trabajo en relación de dependencia, y han sido determinadas teniendo en cuenta las responsabilidades de </w:t>
      </w:r>
      <w:r w:rsidRPr="00FE5001">
        <w:rPr>
          <w:rFonts w:ascii="Times New Roman" w:eastAsia="Times New Roman" w:hAnsi="Times New Roman" w:cs="Times New Roman"/>
          <w:i/>
          <w:lang w:val="es-ES" w:eastAsia="es-ES"/>
        </w:rPr>
        <w:lastRenderedPageBreak/>
        <w:t>las funciones, la dedicación exclusiva y permanente, su competencia y reputación profesional. La política de remuneración de los cuadros jerárquicos consiste en una remuneración fija en relación de dependencia y es acorde a la media del mercado.</w:t>
      </w:r>
      <w:bookmarkEnd w:id="27"/>
    </w:p>
    <w:p w14:paraId="35A41000" w14:textId="77777777" w:rsidR="00356DEB" w:rsidRPr="00FE5001" w:rsidRDefault="00356DEB" w:rsidP="00FE5001">
      <w:pPr>
        <w:spacing w:after="0" w:line="240" w:lineRule="auto"/>
        <w:jc w:val="both"/>
        <w:rPr>
          <w:rFonts w:ascii="Times New Roman" w:eastAsia="Times New Roman" w:hAnsi="Times New Roman" w:cs="Times New Roman"/>
          <w:b/>
          <w:i/>
          <w:lang w:eastAsia="es-ES"/>
        </w:rPr>
      </w:pPr>
    </w:p>
    <w:p w14:paraId="4FF9EB1B" w14:textId="009E9A4C" w:rsidR="002A0F5B" w:rsidRPr="00FE5001" w:rsidRDefault="005D597D" w:rsidP="00FE5001">
      <w:pPr>
        <w:spacing w:after="0" w:line="240" w:lineRule="auto"/>
        <w:jc w:val="both"/>
        <w:rPr>
          <w:rFonts w:ascii="Times New Roman" w:hAnsi="Times New Roman" w:cs="Times New Roman"/>
          <w:i/>
          <w:iCs/>
          <w:u w:val="single"/>
        </w:rPr>
      </w:pPr>
      <w:r w:rsidRPr="00FE5001">
        <w:rPr>
          <w:rFonts w:ascii="Times New Roman" w:eastAsia="Times New Roman" w:hAnsi="Times New Roman" w:cs="Times New Roman"/>
          <w:b/>
          <w:i/>
          <w:lang w:eastAsia="es-ES"/>
        </w:rPr>
        <w:t>PALABRAS FINALES</w:t>
      </w:r>
    </w:p>
    <w:p w14:paraId="7D250B70" w14:textId="77777777" w:rsidR="007E0BAD" w:rsidRPr="00FE5001" w:rsidRDefault="007E0BAD" w:rsidP="00FE5001">
      <w:pPr>
        <w:spacing w:after="0" w:line="240" w:lineRule="auto"/>
        <w:jc w:val="both"/>
        <w:rPr>
          <w:rFonts w:ascii="Times New Roman" w:eastAsia="Times New Roman" w:hAnsi="Times New Roman" w:cs="Times New Roman"/>
          <w:i/>
          <w:lang w:val="es-ES" w:eastAsia="es-ES"/>
        </w:rPr>
      </w:pPr>
    </w:p>
    <w:p w14:paraId="500A24A5" w14:textId="77777777" w:rsidR="00261774" w:rsidRPr="00FE5001" w:rsidRDefault="00261774"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La Asamblea deberá tratar los puntos del Orden del Día establecidos.</w:t>
      </w:r>
    </w:p>
    <w:p w14:paraId="31F8CCBE" w14:textId="77777777" w:rsidR="00B117F5" w:rsidRPr="00FE5001" w:rsidRDefault="00B117F5" w:rsidP="00FE5001">
      <w:pPr>
        <w:spacing w:after="0" w:line="240" w:lineRule="auto"/>
        <w:jc w:val="both"/>
        <w:rPr>
          <w:rFonts w:ascii="Times New Roman" w:eastAsia="Times New Roman" w:hAnsi="Times New Roman" w:cs="Times New Roman"/>
          <w:i/>
          <w:lang w:val="es-ES" w:eastAsia="es-ES"/>
        </w:rPr>
      </w:pPr>
    </w:p>
    <w:p w14:paraId="3EB9F7F9" w14:textId="1AB651B3" w:rsidR="00261774" w:rsidRPr="00FE5001" w:rsidRDefault="00261774"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Queremos expresar nuestro agradecimiento a todos aquellos que nos acompañan y que renuevan a diario su confianza en nuestras decisiones; a proveedores, clientes, socios en nuestros negocios, Instituciones Nacionales, Provinciales y Municipales e Instituciones Financieras y Accionistas, que ratifican nuestra capacidad de afrontar nuevos desafíos transitando </w:t>
      </w:r>
      <w:r w:rsidR="00637F17" w:rsidRPr="00FE5001">
        <w:rPr>
          <w:rFonts w:ascii="Times New Roman" w:eastAsia="Times New Roman" w:hAnsi="Times New Roman" w:cs="Times New Roman"/>
          <w:i/>
          <w:lang w:val="es-ES" w:eastAsia="es-ES"/>
        </w:rPr>
        <w:t xml:space="preserve">las </w:t>
      </w:r>
      <w:r w:rsidRPr="00FE5001">
        <w:rPr>
          <w:rFonts w:ascii="Times New Roman" w:eastAsia="Times New Roman" w:hAnsi="Times New Roman" w:cs="Times New Roman"/>
          <w:i/>
          <w:lang w:val="es-ES" w:eastAsia="es-ES"/>
        </w:rPr>
        <w:t xml:space="preserve">adversidades, adecuándonos a las cada vez más exigentes demandas del mercado y </w:t>
      </w:r>
      <w:r w:rsidR="00637F17" w:rsidRPr="00FE5001">
        <w:rPr>
          <w:rFonts w:ascii="Times New Roman" w:eastAsia="Times New Roman" w:hAnsi="Times New Roman" w:cs="Times New Roman"/>
          <w:i/>
          <w:lang w:val="es-ES" w:eastAsia="es-ES"/>
        </w:rPr>
        <w:t>adaptándonos</w:t>
      </w:r>
      <w:r w:rsidRPr="00FE5001">
        <w:rPr>
          <w:rFonts w:ascii="Times New Roman" w:eastAsia="Times New Roman" w:hAnsi="Times New Roman" w:cs="Times New Roman"/>
          <w:i/>
          <w:lang w:val="es-ES" w:eastAsia="es-ES"/>
        </w:rPr>
        <w:t xml:space="preserve"> </w:t>
      </w:r>
      <w:r w:rsidR="00637F17" w:rsidRPr="00FE5001">
        <w:rPr>
          <w:rFonts w:ascii="Times New Roman" w:eastAsia="Times New Roman" w:hAnsi="Times New Roman" w:cs="Times New Roman"/>
          <w:i/>
          <w:lang w:val="es-ES" w:eastAsia="es-ES"/>
        </w:rPr>
        <w:t xml:space="preserve">a </w:t>
      </w:r>
      <w:r w:rsidRPr="00FE5001">
        <w:rPr>
          <w:rFonts w:ascii="Times New Roman" w:eastAsia="Times New Roman" w:hAnsi="Times New Roman" w:cs="Times New Roman"/>
          <w:i/>
          <w:lang w:val="es-ES" w:eastAsia="es-ES"/>
        </w:rPr>
        <w:t xml:space="preserve">los nuevos términos </w:t>
      </w:r>
      <w:r w:rsidR="00637F17" w:rsidRPr="00FE5001">
        <w:rPr>
          <w:rFonts w:ascii="Times New Roman" w:eastAsia="Times New Roman" w:hAnsi="Times New Roman" w:cs="Times New Roman"/>
          <w:i/>
          <w:lang w:val="es-ES" w:eastAsia="es-ES"/>
        </w:rPr>
        <w:t xml:space="preserve">plantados </w:t>
      </w:r>
      <w:r w:rsidRPr="00FE5001">
        <w:rPr>
          <w:rFonts w:ascii="Times New Roman" w:eastAsia="Times New Roman" w:hAnsi="Times New Roman" w:cs="Times New Roman"/>
          <w:i/>
          <w:lang w:val="es-ES" w:eastAsia="es-ES"/>
        </w:rPr>
        <w:t>por la pandemia, que nos obliga</w:t>
      </w:r>
      <w:r w:rsidR="00637F17" w:rsidRPr="00FE5001">
        <w:rPr>
          <w:rFonts w:ascii="Times New Roman" w:eastAsia="Times New Roman" w:hAnsi="Times New Roman" w:cs="Times New Roman"/>
          <w:i/>
          <w:lang w:val="es-ES" w:eastAsia="es-ES"/>
        </w:rPr>
        <w:t>n</w:t>
      </w:r>
      <w:r w:rsidRPr="00FE5001">
        <w:rPr>
          <w:rFonts w:ascii="Times New Roman" w:eastAsia="Times New Roman" w:hAnsi="Times New Roman" w:cs="Times New Roman"/>
          <w:i/>
          <w:lang w:val="es-ES" w:eastAsia="es-ES"/>
        </w:rPr>
        <w:t xml:space="preserve"> a reinventar parte de nuestros negocios. </w:t>
      </w:r>
    </w:p>
    <w:p w14:paraId="4EC03D0F" w14:textId="77777777" w:rsidR="00B117F5" w:rsidRPr="00FE5001" w:rsidRDefault="00B117F5" w:rsidP="00FE5001">
      <w:pPr>
        <w:spacing w:after="0" w:line="240" w:lineRule="auto"/>
        <w:jc w:val="both"/>
        <w:rPr>
          <w:rFonts w:ascii="Times New Roman" w:eastAsia="Times New Roman" w:hAnsi="Times New Roman" w:cs="Times New Roman"/>
          <w:i/>
          <w:lang w:val="es-ES" w:eastAsia="es-ES"/>
        </w:rPr>
      </w:pPr>
    </w:p>
    <w:p w14:paraId="40A3E089" w14:textId="07898537" w:rsidR="00261774" w:rsidRPr="00FE5001" w:rsidRDefault="00261774"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 xml:space="preserve">Un reconocimiento especial a todo nuestro personal que con su esfuerzo, dedicación e involucramiento han hecho posible </w:t>
      </w:r>
      <w:r w:rsidR="005D688F" w:rsidRPr="00FE5001">
        <w:rPr>
          <w:rFonts w:ascii="Times New Roman" w:eastAsia="Times New Roman" w:hAnsi="Times New Roman" w:cs="Times New Roman"/>
          <w:i/>
          <w:lang w:val="es-ES" w:eastAsia="es-ES"/>
        </w:rPr>
        <w:t>desde la virtualidad</w:t>
      </w:r>
      <w:r w:rsidRPr="00FE5001">
        <w:rPr>
          <w:rFonts w:ascii="Times New Roman" w:eastAsia="Times New Roman" w:hAnsi="Times New Roman" w:cs="Times New Roman"/>
          <w:i/>
          <w:lang w:val="es-ES" w:eastAsia="es-ES"/>
        </w:rPr>
        <w:t>,</w:t>
      </w:r>
      <w:r w:rsidR="005D688F" w:rsidRPr="00FE5001">
        <w:rPr>
          <w:rFonts w:ascii="Times New Roman" w:eastAsia="Times New Roman" w:hAnsi="Times New Roman" w:cs="Times New Roman"/>
          <w:i/>
          <w:lang w:val="es-ES" w:eastAsia="es-ES"/>
        </w:rPr>
        <w:t xml:space="preserve"> conseguir los objetivos planteados </w:t>
      </w:r>
      <w:r w:rsidR="00637F17" w:rsidRPr="00FE5001">
        <w:rPr>
          <w:rFonts w:ascii="Times New Roman" w:eastAsia="Times New Roman" w:hAnsi="Times New Roman" w:cs="Times New Roman"/>
          <w:i/>
          <w:lang w:val="es-ES" w:eastAsia="es-ES"/>
        </w:rPr>
        <w:t xml:space="preserve">en este particular ejercicio </w:t>
      </w:r>
      <w:r w:rsidR="005D688F" w:rsidRPr="00FE5001">
        <w:rPr>
          <w:rFonts w:ascii="Times New Roman" w:eastAsia="Times New Roman" w:hAnsi="Times New Roman" w:cs="Times New Roman"/>
          <w:i/>
          <w:lang w:val="es-ES" w:eastAsia="es-ES"/>
        </w:rPr>
        <w:t>con</w:t>
      </w:r>
      <w:r w:rsidRPr="00FE5001">
        <w:rPr>
          <w:rFonts w:ascii="Times New Roman" w:eastAsia="Times New Roman" w:hAnsi="Times New Roman" w:cs="Times New Roman"/>
          <w:i/>
          <w:lang w:val="es-ES" w:eastAsia="es-ES"/>
        </w:rPr>
        <w:t xml:space="preserve"> la continuidad de todas las operaciones, sin verse alteradas ninguna de ellas, mostrando una gran capacidad de adaptación a las impensadas nuevas reglas de juego, </w:t>
      </w:r>
      <w:r w:rsidR="00637F17" w:rsidRPr="00FE5001">
        <w:rPr>
          <w:rFonts w:ascii="Times New Roman" w:eastAsia="Times New Roman" w:hAnsi="Times New Roman" w:cs="Times New Roman"/>
          <w:i/>
          <w:lang w:val="es-ES" w:eastAsia="es-ES"/>
        </w:rPr>
        <w:t xml:space="preserve">y </w:t>
      </w:r>
      <w:r w:rsidRPr="00FE5001">
        <w:rPr>
          <w:rFonts w:ascii="Times New Roman" w:eastAsia="Times New Roman" w:hAnsi="Times New Roman" w:cs="Times New Roman"/>
          <w:i/>
          <w:lang w:val="es-ES" w:eastAsia="es-ES"/>
        </w:rPr>
        <w:t xml:space="preserve">que han llevado a cabo con actitud, profesionalismo, adaptación al cambio y trabajo en equipo materializándose en un claro impacto </w:t>
      </w:r>
      <w:r w:rsidR="00637F17" w:rsidRPr="00FE5001">
        <w:rPr>
          <w:rFonts w:ascii="Times New Roman" w:eastAsia="Times New Roman" w:hAnsi="Times New Roman" w:cs="Times New Roman"/>
          <w:i/>
          <w:lang w:val="es-ES" w:eastAsia="es-ES"/>
        </w:rPr>
        <w:t xml:space="preserve">de </w:t>
      </w:r>
      <w:r w:rsidRPr="00FE5001">
        <w:rPr>
          <w:rFonts w:ascii="Times New Roman" w:eastAsia="Times New Roman" w:hAnsi="Times New Roman" w:cs="Times New Roman"/>
          <w:i/>
          <w:lang w:val="es-ES" w:eastAsia="es-ES"/>
        </w:rPr>
        <w:t>calidad valorizando la organización. A nuestro cuerpo de asesores, por ser parte de este desarrollo colaborando para lograr con éxito los objetivos delineados hacia los resultados esperados, a pesar de que los mismos se vieron fuertemente afectados por el contexto. A todos ellos por el espíritu de iniciativa y capacidad para adelantarnos a los cambios, reconocer en ellos oportunidades o problemas potenciales, y actuar en consecuencia con un firme deseo de continuar creciendo sobre bases sustentables.</w:t>
      </w:r>
    </w:p>
    <w:p w14:paraId="1ABBEE66" w14:textId="77777777" w:rsidR="00B117F5" w:rsidRPr="00FE5001" w:rsidRDefault="00B117F5" w:rsidP="00FE5001">
      <w:pPr>
        <w:spacing w:after="0" w:line="240" w:lineRule="auto"/>
        <w:jc w:val="both"/>
        <w:rPr>
          <w:rFonts w:ascii="Times New Roman" w:eastAsia="Times New Roman" w:hAnsi="Times New Roman" w:cs="Times New Roman"/>
          <w:i/>
          <w:lang w:val="es-ES" w:eastAsia="es-ES"/>
        </w:rPr>
      </w:pPr>
    </w:p>
    <w:p w14:paraId="468A5CCB" w14:textId="77777777" w:rsidR="00261774" w:rsidRPr="00FE5001" w:rsidRDefault="00261774"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A todos, muchas gracias y lo mejor de nuestro reconocimiento.</w:t>
      </w:r>
    </w:p>
    <w:p w14:paraId="2A091D2D" w14:textId="77777777" w:rsidR="00B117F5" w:rsidRPr="00FE5001" w:rsidRDefault="00B117F5" w:rsidP="00FE5001">
      <w:pPr>
        <w:spacing w:after="0" w:line="240" w:lineRule="auto"/>
        <w:jc w:val="both"/>
        <w:rPr>
          <w:rFonts w:ascii="Times New Roman" w:eastAsia="Times New Roman" w:hAnsi="Times New Roman" w:cs="Times New Roman"/>
          <w:i/>
          <w:lang w:val="es-ES" w:eastAsia="es-ES"/>
        </w:rPr>
      </w:pPr>
    </w:p>
    <w:p w14:paraId="13934E90" w14:textId="77777777" w:rsidR="00261774" w:rsidRPr="00FE5001" w:rsidRDefault="00261774" w:rsidP="00FE5001">
      <w:pPr>
        <w:spacing w:after="0" w:line="240" w:lineRule="auto"/>
        <w:jc w:val="both"/>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Saludamos a los Señores Accionistas con nuestra mayor consideración.</w:t>
      </w:r>
    </w:p>
    <w:p w14:paraId="1D5AF728" w14:textId="77777777" w:rsidR="00B117F5" w:rsidRPr="00FE5001" w:rsidRDefault="00B117F5" w:rsidP="00FE5001">
      <w:pPr>
        <w:spacing w:after="0" w:line="240" w:lineRule="auto"/>
        <w:jc w:val="both"/>
        <w:rPr>
          <w:rFonts w:ascii="Times New Roman" w:eastAsia="Times New Roman" w:hAnsi="Times New Roman" w:cs="Times New Roman"/>
          <w:i/>
          <w:lang w:val="es-ES" w:eastAsia="es-ES"/>
        </w:rPr>
      </w:pPr>
    </w:p>
    <w:p w14:paraId="15F15650" w14:textId="41C850C5" w:rsidR="002A0F5B" w:rsidRPr="00FE5001" w:rsidRDefault="00261774" w:rsidP="00B97057">
      <w:pPr>
        <w:spacing w:after="0" w:line="240" w:lineRule="auto"/>
        <w:jc w:val="right"/>
        <w:rPr>
          <w:rFonts w:ascii="Times New Roman" w:eastAsia="Times New Roman" w:hAnsi="Times New Roman" w:cs="Times New Roman"/>
          <w:i/>
          <w:lang w:val="es-ES" w:eastAsia="es-ES"/>
        </w:rPr>
      </w:pPr>
      <w:r w:rsidRPr="00FE5001">
        <w:rPr>
          <w:rFonts w:ascii="Times New Roman" w:eastAsia="Times New Roman" w:hAnsi="Times New Roman" w:cs="Times New Roman"/>
          <w:i/>
          <w:lang w:val="es-ES" w:eastAsia="es-ES"/>
        </w:rPr>
        <w:t>Ciudad Autónoma de Buenos Aires, 1</w:t>
      </w:r>
      <w:r w:rsidR="00801255" w:rsidRPr="00FE5001">
        <w:rPr>
          <w:rFonts w:ascii="Times New Roman" w:eastAsia="Times New Roman" w:hAnsi="Times New Roman" w:cs="Times New Roman"/>
          <w:i/>
          <w:lang w:val="es-ES" w:eastAsia="es-ES"/>
        </w:rPr>
        <w:t>0</w:t>
      </w:r>
      <w:r w:rsidRPr="00FE5001">
        <w:rPr>
          <w:rFonts w:ascii="Times New Roman" w:eastAsia="Times New Roman" w:hAnsi="Times New Roman" w:cs="Times New Roman"/>
          <w:i/>
          <w:lang w:val="es-ES" w:eastAsia="es-ES"/>
        </w:rPr>
        <w:t xml:space="preserve"> de enero de 202</w:t>
      </w:r>
      <w:r w:rsidR="005D688F" w:rsidRPr="00FE5001">
        <w:rPr>
          <w:rFonts w:ascii="Times New Roman" w:eastAsia="Times New Roman" w:hAnsi="Times New Roman" w:cs="Times New Roman"/>
          <w:i/>
          <w:lang w:val="es-ES" w:eastAsia="es-ES"/>
        </w:rPr>
        <w:t>2</w:t>
      </w:r>
      <w:r w:rsidRPr="00FE5001">
        <w:rPr>
          <w:rFonts w:ascii="Times New Roman" w:eastAsia="Times New Roman" w:hAnsi="Times New Roman" w:cs="Times New Roman"/>
          <w:i/>
          <w:lang w:val="es-ES" w:eastAsia="es-ES"/>
        </w:rPr>
        <w:t>.</w:t>
      </w:r>
    </w:p>
    <w:p w14:paraId="401E9F02" w14:textId="03F9F22A" w:rsidR="001331EA" w:rsidRDefault="001331EA" w:rsidP="00FE5001">
      <w:pPr>
        <w:spacing w:after="0" w:line="240" w:lineRule="auto"/>
        <w:jc w:val="both"/>
      </w:pPr>
    </w:p>
    <w:p w14:paraId="744E9E96" w14:textId="77777777" w:rsidR="00024BC3" w:rsidRDefault="00024BC3" w:rsidP="00024BC3">
      <w:pPr>
        <w:spacing w:after="0" w:line="240" w:lineRule="auto"/>
        <w:jc w:val="right"/>
        <w:rPr>
          <w:i/>
          <w:iCs/>
        </w:rPr>
      </w:pPr>
    </w:p>
    <w:p w14:paraId="789B2903" w14:textId="77777777" w:rsidR="00024BC3" w:rsidRPr="009124B0" w:rsidRDefault="00024BC3" w:rsidP="00024BC3">
      <w:pPr>
        <w:spacing w:after="0" w:line="240" w:lineRule="auto"/>
        <w:jc w:val="right"/>
        <w:rPr>
          <w:rFonts w:ascii="Times New Roman" w:hAnsi="Times New Roman" w:cs="Times New Roman"/>
          <w:i/>
          <w:iCs/>
        </w:rPr>
      </w:pPr>
    </w:p>
    <w:p w14:paraId="26CBEDD5" w14:textId="0726DA8E" w:rsidR="00024BC3" w:rsidRPr="009124B0" w:rsidRDefault="00024BC3" w:rsidP="00024BC3">
      <w:pPr>
        <w:spacing w:after="0" w:line="240" w:lineRule="auto"/>
        <w:jc w:val="right"/>
        <w:rPr>
          <w:rFonts w:ascii="Times New Roman" w:hAnsi="Times New Roman" w:cs="Times New Roman"/>
          <w:i/>
          <w:iCs/>
        </w:rPr>
      </w:pPr>
      <w:r w:rsidRPr="009124B0">
        <w:rPr>
          <w:rFonts w:ascii="Times New Roman" w:hAnsi="Times New Roman" w:cs="Times New Roman"/>
          <w:i/>
          <w:iCs/>
        </w:rPr>
        <w:t>Antonio Ángel Tabanelli</w:t>
      </w:r>
    </w:p>
    <w:p w14:paraId="5F576D58" w14:textId="027DF959" w:rsidR="00024BC3" w:rsidRPr="009124B0" w:rsidRDefault="00024BC3" w:rsidP="00024BC3">
      <w:pPr>
        <w:spacing w:after="0" w:line="240" w:lineRule="auto"/>
        <w:jc w:val="right"/>
        <w:rPr>
          <w:rFonts w:ascii="Times New Roman" w:hAnsi="Times New Roman" w:cs="Times New Roman"/>
          <w:i/>
          <w:iCs/>
        </w:rPr>
      </w:pPr>
      <w:r w:rsidRPr="009124B0">
        <w:rPr>
          <w:rFonts w:ascii="Times New Roman" w:hAnsi="Times New Roman" w:cs="Times New Roman"/>
          <w:i/>
          <w:iCs/>
        </w:rPr>
        <w:t>Presidente</w:t>
      </w:r>
    </w:p>
    <w:p w14:paraId="35D376DE" w14:textId="599CDCBF" w:rsidR="00024BC3" w:rsidRPr="009124B0" w:rsidRDefault="00024BC3" w:rsidP="00024BC3">
      <w:pPr>
        <w:spacing w:after="0" w:line="240" w:lineRule="auto"/>
        <w:jc w:val="right"/>
        <w:rPr>
          <w:rFonts w:ascii="Times New Roman" w:hAnsi="Times New Roman" w:cs="Times New Roman"/>
          <w:b/>
          <w:bCs/>
          <w:i/>
          <w:iCs/>
        </w:rPr>
      </w:pPr>
      <w:r w:rsidRPr="009124B0">
        <w:rPr>
          <w:rFonts w:ascii="Times New Roman" w:hAnsi="Times New Roman" w:cs="Times New Roman"/>
          <w:b/>
          <w:bCs/>
          <w:i/>
          <w:iCs/>
        </w:rPr>
        <w:t>Boldt S.A</w:t>
      </w:r>
    </w:p>
    <w:sectPr w:rsidR="00024BC3" w:rsidRPr="009124B0">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1C1B" w14:textId="77777777" w:rsidR="001E7891" w:rsidRDefault="001E7891" w:rsidP="00385C8A">
      <w:pPr>
        <w:spacing w:after="0" w:line="240" w:lineRule="auto"/>
      </w:pPr>
      <w:r>
        <w:separator/>
      </w:r>
    </w:p>
  </w:endnote>
  <w:endnote w:type="continuationSeparator" w:id="0">
    <w:p w14:paraId="53C568FE" w14:textId="77777777" w:rsidR="001E7891" w:rsidRDefault="001E7891" w:rsidP="00385C8A">
      <w:pPr>
        <w:spacing w:after="0" w:line="240" w:lineRule="auto"/>
      </w:pPr>
      <w:r>
        <w:continuationSeparator/>
      </w:r>
    </w:p>
  </w:endnote>
  <w:endnote w:type="continuationNotice" w:id="1">
    <w:p w14:paraId="289CA27E" w14:textId="77777777" w:rsidR="001E7891" w:rsidRDefault="001E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6AFF" w14:textId="045943FB" w:rsidR="00FE5001" w:rsidRDefault="00FE5001">
    <w:pPr>
      <w:pStyle w:val="Piedepgina"/>
    </w:pPr>
    <w:r>
      <w:rPr>
        <w:noProof/>
      </w:rPr>
      <mc:AlternateContent>
        <mc:Choice Requires="wps">
          <w:drawing>
            <wp:anchor distT="0" distB="0" distL="114300" distR="114300" simplePos="0" relativeHeight="251659264" behindDoc="0" locked="0" layoutInCell="0" allowOverlap="1" wp14:anchorId="6F9195D3" wp14:editId="35511EAD">
              <wp:simplePos x="0" y="0"/>
              <wp:positionH relativeFrom="page">
                <wp:posOffset>0</wp:posOffset>
              </wp:positionH>
              <wp:positionV relativeFrom="page">
                <wp:posOffset>10227945</wp:posOffset>
              </wp:positionV>
              <wp:extent cx="7560310" cy="273050"/>
              <wp:effectExtent l="0" t="0" r="0" b="12700"/>
              <wp:wrapNone/>
              <wp:docPr id="1" name="MSIPCMed1c4ade83659f509e8faebf" descr="{&quot;HashCode&quot;:13456444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AF4D9" w14:textId="0B5E3E3B" w:rsidR="00FE5001" w:rsidRPr="00385C8A" w:rsidRDefault="00FE5001" w:rsidP="00385C8A">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9195D3" id="_x0000_t202" coordsize="21600,21600" o:spt="202" path="m,l,21600r21600,l21600,xe">
              <v:stroke joinstyle="miter"/>
              <v:path gradientshapeok="t" o:connecttype="rect"/>
            </v:shapetype>
            <v:shape id="MSIPCMed1c4ade83659f509e8faebf" o:spid="_x0000_s1026" type="#_x0000_t202" alt="{&quot;HashCode&quot;:134564447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JPXm22wAgAARwUAAA4A&#10;AAAAAAAAAAAAAAAALgIAAGRycy9lMm9Eb2MueG1sUEsBAi0AFAAGAAgAAAAhAHx2COHfAAAACwEA&#10;AA8AAAAAAAAAAAAAAAAACgUAAGRycy9kb3ducmV2LnhtbFBLBQYAAAAABAAEAPMAAAAWBgAAAAA=&#10;" o:allowincell="f" filled="f" stroked="f" strokeweight=".5pt">
              <v:textbox inset="20pt,0,,0">
                <w:txbxContent>
                  <w:p w14:paraId="48CAF4D9" w14:textId="0B5E3E3B" w:rsidR="00FE5001" w:rsidRPr="00385C8A" w:rsidRDefault="00FE5001" w:rsidP="00385C8A">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B0619" w14:textId="77777777" w:rsidR="001E7891" w:rsidRDefault="001E7891" w:rsidP="00385C8A">
      <w:pPr>
        <w:spacing w:after="0" w:line="240" w:lineRule="auto"/>
      </w:pPr>
      <w:r>
        <w:separator/>
      </w:r>
    </w:p>
  </w:footnote>
  <w:footnote w:type="continuationSeparator" w:id="0">
    <w:p w14:paraId="188CA108" w14:textId="77777777" w:rsidR="001E7891" w:rsidRDefault="001E7891" w:rsidP="00385C8A">
      <w:pPr>
        <w:spacing w:after="0" w:line="240" w:lineRule="auto"/>
      </w:pPr>
      <w:r>
        <w:continuationSeparator/>
      </w:r>
    </w:p>
  </w:footnote>
  <w:footnote w:type="continuationNotice" w:id="1">
    <w:p w14:paraId="378DB888" w14:textId="77777777" w:rsidR="001E7891" w:rsidRDefault="001E7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F0067" w14:textId="3F453848" w:rsidR="003F2322" w:rsidRDefault="003F2322" w:rsidP="003F2322">
    <w:pPr>
      <w:pStyle w:val="Encabezado"/>
      <w:jc w:val="right"/>
    </w:pPr>
    <w:r>
      <w:rPr>
        <w:noProof/>
      </w:rPr>
      <w:drawing>
        <wp:inline distT="0" distB="0" distL="0" distR="0" wp14:anchorId="5D8D097B" wp14:editId="06B1A009">
          <wp:extent cx="1457908" cy="196686"/>
          <wp:effectExtent l="0" t="0" r="0" b="0"/>
          <wp:docPr id="2" name="Imagen 2"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t_blue.jpg"/>
                  <pic:cNvPicPr/>
                </pic:nvPicPr>
                <pic:blipFill>
                  <a:blip r:embed="rId1">
                    <a:extLst>
                      <a:ext uri="{28A0092B-C50C-407E-A947-70E740481C1C}">
                        <a14:useLocalDpi xmlns:a14="http://schemas.microsoft.com/office/drawing/2010/main" val="0"/>
                      </a:ext>
                    </a:extLst>
                  </a:blip>
                  <a:stretch>
                    <a:fillRect/>
                  </a:stretch>
                </pic:blipFill>
                <pic:spPr>
                  <a:xfrm>
                    <a:off x="0" y="0"/>
                    <a:ext cx="1674638" cy="225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96B"/>
    <w:multiLevelType w:val="hybridMultilevel"/>
    <w:tmpl w:val="0F0ECBB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BCA52B9"/>
    <w:multiLevelType w:val="hybridMultilevel"/>
    <w:tmpl w:val="54665FAA"/>
    <w:lvl w:ilvl="0" w:tplc="4A145012">
      <w:numFmt w:val="bullet"/>
      <w:lvlText w:val="-"/>
      <w:lvlJc w:val="left"/>
      <w:pPr>
        <w:ind w:left="720" w:hanging="360"/>
      </w:pPr>
      <w:rPr>
        <w:rFonts w:ascii="Verdana" w:eastAsia="Times New Roman"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D53CA1"/>
    <w:multiLevelType w:val="hybridMultilevel"/>
    <w:tmpl w:val="66ECCEB4"/>
    <w:lvl w:ilvl="0" w:tplc="A978E388">
      <w:start w:val="1"/>
      <w:numFmt w:val="decimal"/>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696F01"/>
    <w:multiLevelType w:val="hybridMultilevel"/>
    <w:tmpl w:val="91726E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2956300"/>
    <w:multiLevelType w:val="hybridMultilevel"/>
    <w:tmpl w:val="76EE2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5FF876E9"/>
    <w:multiLevelType w:val="hybridMultilevel"/>
    <w:tmpl w:val="53DC95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1A68"/>
    <w:multiLevelType w:val="hybridMultilevel"/>
    <w:tmpl w:val="7F066A06"/>
    <w:lvl w:ilvl="0" w:tplc="2C0A0001">
      <w:start w:val="1"/>
      <w:numFmt w:val="bullet"/>
      <w:lvlText w:val=""/>
      <w:lvlJc w:val="left"/>
      <w:pPr>
        <w:ind w:left="1080" w:hanging="360"/>
      </w:pPr>
      <w:rPr>
        <w:rFonts w:ascii="Symbol" w:hAnsi="Symbol" w:hint="default"/>
      </w:rPr>
    </w:lvl>
    <w:lvl w:ilvl="1" w:tplc="2C0A0001">
      <w:start w:val="1"/>
      <w:numFmt w:val="bullet"/>
      <w:lvlText w:val=""/>
      <w:lvlJc w:val="left"/>
      <w:pPr>
        <w:ind w:left="1800" w:hanging="360"/>
      </w:pPr>
      <w:rPr>
        <w:rFonts w:ascii="Symbol" w:hAnsi="Symbol"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710B7228"/>
    <w:multiLevelType w:val="hybridMultilevel"/>
    <w:tmpl w:val="864450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AAC6CB8"/>
    <w:multiLevelType w:val="hybridMultilevel"/>
    <w:tmpl w:val="275A075E"/>
    <w:lvl w:ilvl="0" w:tplc="88EC5DA0">
      <w:start w:val="1"/>
      <w:numFmt w:val="decimal"/>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8"/>
  </w:num>
  <w:num w:numId="8">
    <w:abstractNumId w:val="4"/>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8A"/>
    <w:rsid w:val="00013D45"/>
    <w:rsid w:val="00024BC3"/>
    <w:rsid w:val="000440C6"/>
    <w:rsid w:val="00045D4D"/>
    <w:rsid w:val="00051544"/>
    <w:rsid w:val="00055092"/>
    <w:rsid w:val="000646E7"/>
    <w:rsid w:val="00077C8E"/>
    <w:rsid w:val="00080910"/>
    <w:rsid w:val="00080E0A"/>
    <w:rsid w:val="000860EC"/>
    <w:rsid w:val="00095A11"/>
    <w:rsid w:val="00097365"/>
    <w:rsid w:val="000A35C7"/>
    <w:rsid w:val="000C3B15"/>
    <w:rsid w:val="00100610"/>
    <w:rsid w:val="00111858"/>
    <w:rsid w:val="001331EA"/>
    <w:rsid w:val="00146063"/>
    <w:rsid w:val="001560C6"/>
    <w:rsid w:val="001577B4"/>
    <w:rsid w:val="0017093F"/>
    <w:rsid w:val="001761E4"/>
    <w:rsid w:val="001803D9"/>
    <w:rsid w:val="001814C3"/>
    <w:rsid w:val="00195320"/>
    <w:rsid w:val="001A3B73"/>
    <w:rsid w:val="001B660D"/>
    <w:rsid w:val="001B7C3A"/>
    <w:rsid w:val="001E7891"/>
    <w:rsid w:val="00220C77"/>
    <w:rsid w:val="00232A99"/>
    <w:rsid w:val="00242552"/>
    <w:rsid w:val="00244207"/>
    <w:rsid w:val="00246CF6"/>
    <w:rsid w:val="00247ABA"/>
    <w:rsid w:val="00255839"/>
    <w:rsid w:val="00261774"/>
    <w:rsid w:val="002626D8"/>
    <w:rsid w:val="0026783E"/>
    <w:rsid w:val="00272D92"/>
    <w:rsid w:val="00277168"/>
    <w:rsid w:val="002A0F5B"/>
    <w:rsid w:val="002B245F"/>
    <w:rsid w:val="002B2C56"/>
    <w:rsid w:val="002B4EBA"/>
    <w:rsid w:val="002B75CD"/>
    <w:rsid w:val="002C49E5"/>
    <w:rsid w:val="002C4A25"/>
    <w:rsid w:val="002C574F"/>
    <w:rsid w:val="002C7B07"/>
    <w:rsid w:val="002D2850"/>
    <w:rsid w:val="002D2ADC"/>
    <w:rsid w:val="002D3FB1"/>
    <w:rsid w:val="002E0733"/>
    <w:rsid w:val="002E3BC1"/>
    <w:rsid w:val="002F0198"/>
    <w:rsid w:val="002F26B7"/>
    <w:rsid w:val="002F6CDA"/>
    <w:rsid w:val="00302638"/>
    <w:rsid w:val="00310A6B"/>
    <w:rsid w:val="00314581"/>
    <w:rsid w:val="00315D05"/>
    <w:rsid w:val="00340B4F"/>
    <w:rsid w:val="00356DEB"/>
    <w:rsid w:val="003642FE"/>
    <w:rsid w:val="00367234"/>
    <w:rsid w:val="00372DDA"/>
    <w:rsid w:val="003826DA"/>
    <w:rsid w:val="0038437E"/>
    <w:rsid w:val="00385C8A"/>
    <w:rsid w:val="00385CA6"/>
    <w:rsid w:val="003A5379"/>
    <w:rsid w:val="003C0793"/>
    <w:rsid w:val="003E11E7"/>
    <w:rsid w:val="003E1B3E"/>
    <w:rsid w:val="003F2322"/>
    <w:rsid w:val="003F3A64"/>
    <w:rsid w:val="003F44E9"/>
    <w:rsid w:val="0041085D"/>
    <w:rsid w:val="004202D8"/>
    <w:rsid w:val="00421CA5"/>
    <w:rsid w:val="00431A24"/>
    <w:rsid w:val="00444856"/>
    <w:rsid w:val="00454038"/>
    <w:rsid w:val="0045463A"/>
    <w:rsid w:val="00462525"/>
    <w:rsid w:val="00464591"/>
    <w:rsid w:val="0048058A"/>
    <w:rsid w:val="00491A30"/>
    <w:rsid w:val="00492B34"/>
    <w:rsid w:val="004E2181"/>
    <w:rsid w:val="004E6CF0"/>
    <w:rsid w:val="004F60E9"/>
    <w:rsid w:val="0052351D"/>
    <w:rsid w:val="0052597C"/>
    <w:rsid w:val="00537325"/>
    <w:rsid w:val="00542749"/>
    <w:rsid w:val="00553072"/>
    <w:rsid w:val="005543E9"/>
    <w:rsid w:val="00563358"/>
    <w:rsid w:val="00570721"/>
    <w:rsid w:val="00581709"/>
    <w:rsid w:val="005A2020"/>
    <w:rsid w:val="005A4253"/>
    <w:rsid w:val="005C4A8C"/>
    <w:rsid w:val="005C6498"/>
    <w:rsid w:val="005D597D"/>
    <w:rsid w:val="005D688F"/>
    <w:rsid w:val="005E348F"/>
    <w:rsid w:val="005E5188"/>
    <w:rsid w:val="005F2F61"/>
    <w:rsid w:val="00602A2B"/>
    <w:rsid w:val="0061643F"/>
    <w:rsid w:val="00617D65"/>
    <w:rsid w:val="006323CC"/>
    <w:rsid w:val="00637F17"/>
    <w:rsid w:val="00642616"/>
    <w:rsid w:val="006878BB"/>
    <w:rsid w:val="00695269"/>
    <w:rsid w:val="006A7C52"/>
    <w:rsid w:val="006C2FBB"/>
    <w:rsid w:val="006C5EA4"/>
    <w:rsid w:val="006D71A5"/>
    <w:rsid w:val="006E3B07"/>
    <w:rsid w:val="006F504A"/>
    <w:rsid w:val="006F5C5E"/>
    <w:rsid w:val="00702DDC"/>
    <w:rsid w:val="00705351"/>
    <w:rsid w:val="007128AF"/>
    <w:rsid w:val="00713CCD"/>
    <w:rsid w:val="00714575"/>
    <w:rsid w:val="00733FE6"/>
    <w:rsid w:val="007524E1"/>
    <w:rsid w:val="00760B8C"/>
    <w:rsid w:val="00766953"/>
    <w:rsid w:val="007847B0"/>
    <w:rsid w:val="007C0FBE"/>
    <w:rsid w:val="007C4B69"/>
    <w:rsid w:val="007C675C"/>
    <w:rsid w:val="007E0BAD"/>
    <w:rsid w:val="007E2377"/>
    <w:rsid w:val="007E77AE"/>
    <w:rsid w:val="007F76BB"/>
    <w:rsid w:val="0080101E"/>
    <w:rsid w:val="00801255"/>
    <w:rsid w:val="0082686B"/>
    <w:rsid w:val="008567C9"/>
    <w:rsid w:val="00871090"/>
    <w:rsid w:val="00892F93"/>
    <w:rsid w:val="008C0332"/>
    <w:rsid w:val="008C2EA9"/>
    <w:rsid w:val="008E3309"/>
    <w:rsid w:val="008E7002"/>
    <w:rsid w:val="008F3EEA"/>
    <w:rsid w:val="00904A4C"/>
    <w:rsid w:val="009109BE"/>
    <w:rsid w:val="00912199"/>
    <w:rsid w:val="009124B0"/>
    <w:rsid w:val="00915B5E"/>
    <w:rsid w:val="009207F4"/>
    <w:rsid w:val="0092306F"/>
    <w:rsid w:val="00925DEC"/>
    <w:rsid w:val="00927DFF"/>
    <w:rsid w:val="00937623"/>
    <w:rsid w:val="0094039E"/>
    <w:rsid w:val="00946C0E"/>
    <w:rsid w:val="00947E67"/>
    <w:rsid w:val="009613B6"/>
    <w:rsid w:val="009773BA"/>
    <w:rsid w:val="00997726"/>
    <w:rsid w:val="009C0918"/>
    <w:rsid w:val="009C5AB3"/>
    <w:rsid w:val="009D2B85"/>
    <w:rsid w:val="009E35A5"/>
    <w:rsid w:val="009E3D00"/>
    <w:rsid w:val="009E7AD1"/>
    <w:rsid w:val="009F62DA"/>
    <w:rsid w:val="00A10B8F"/>
    <w:rsid w:val="00A307FB"/>
    <w:rsid w:val="00A4428D"/>
    <w:rsid w:val="00A747F0"/>
    <w:rsid w:val="00A93A54"/>
    <w:rsid w:val="00AB61E1"/>
    <w:rsid w:val="00AF2FB6"/>
    <w:rsid w:val="00B0678E"/>
    <w:rsid w:val="00B117F5"/>
    <w:rsid w:val="00B24070"/>
    <w:rsid w:val="00B240E6"/>
    <w:rsid w:val="00B2621D"/>
    <w:rsid w:val="00B33A26"/>
    <w:rsid w:val="00B43E9F"/>
    <w:rsid w:val="00B4407B"/>
    <w:rsid w:val="00B510E4"/>
    <w:rsid w:val="00B53B45"/>
    <w:rsid w:val="00B6114A"/>
    <w:rsid w:val="00B87CBC"/>
    <w:rsid w:val="00B87F75"/>
    <w:rsid w:val="00B901C8"/>
    <w:rsid w:val="00B97057"/>
    <w:rsid w:val="00BB27E0"/>
    <w:rsid w:val="00BC4A62"/>
    <w:rsid w:val="00BD3CA2"/>
    <w:rsid w:val="00BE1D63"/>
    <w:rsid w:val="00BE40DD"/>
    <w:rsid w:val="00BF523B"/>
    <w:rsid w:val="00C804D6"/>
    <w:rsid w:val="00CA3C00"/>
    <w:rsid w:val="00CC07A6"/>
    <w:rsid w:val="00CD0159"/>
    <w:rsid w:val="00CE7A6A"/>
    <w:rsid w:val="00CF6EAA"/>
    <w:rsid w:val="00D23934"/>
    <w:rsid w:val="00D25D0E"/>
    <w:rsid w:val="00D27D2C"/>
    <w:rsid w:val="00D61A24"/>
    <w:rsid w:val="00D61EF9"/>
    <w:rsid w:val="00D70BF2"/>
    <w:rsid w:val="00D82CDC"/>
    <w:rsid w:val="00D84A37"/>
    <w:rsid w:val="00DB5B3D"/>
    <w:rsid w:val="00DB60A5"/>
    <w:rsid w:val="00DD1808"/>
    <w:rsid w:val="00DD6D80"/>
    <w:rsid w:val="00DE0B38"/>
    <w:rsid w:val="00DE29A3"/>
    <w:rsid w:val="00DE2B38"/>
    <w:rsid w:val="00E345CC"/>
    <w:rsid w:val="00E41AF6"/>
    <w:rsid w:val="00E52BB2"/>
    <w:rsid w:val="00E837E6"/>
    <w:rsid w:val="00E87196"/>
    <w:rsid w:val="00ED01DC"/>
    <w:rsid w:val="00ED05A3"/>
    <w:rsid w:val="00ED7A82"/>
    <w:rsid w:val="00EE25AF"/>
    <w:rsid w:val="00EE28F2"/>
    <w:rsid w:val="00EE5DF5"/>
    <w:rsid w:val="00EE7DD2"/>
    <w:rsid w:val="00F017A7"/>
    <w:rsid w:val="00F05626"/>
    <w:rsid w:val="00F21CDE"/>
    <w:rsid w:val="00F37D62"/>
    <w:rsid w:val="00F528BB"/>
    <w:rsid w:val="00F56081"/>
    <w:rsid w:val="00F637C9"/>
    <w:rsid w:val="00F84B3E"/>
    <w:rsid w:val="00F9251A"/>
    <w:rsid w:val="00FB4996"/>
    <w:rsid w:val="00FD2225"/>
    <w:rsid w:val="00FE5001"/>
    <w:rsid w:val="00FF35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938CA"/>
  <w15:chartTrackingRefBased/>
  <w15:docId w15:val="{E72CE193-B2D6-4197-9C57-49D4F72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5C8A"/>
  </w:style>
  <w:style w:type="paragraph" w:styleId="Piedepgina">
    <w:name w:val="footer"/>
    <w:basedOn w:val="Normal"/>
    <w:link w:val="PiedepginaCar"/>
    <w:uiPriority w:val="99"/>
    <w:unhideWhenUsed/>
    <w:rsid w:val="00385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5C8A"/>
  </w:style>
  <w:style w:type="paragraph" w:styleId="Revisin">
    <w:name w:val="Revision"/>
    <w:hidden/>
    <w:uiPriority w:val="99"/>
    <w:semiHidden/>
    <w:rsid w:val="007C675C"/>
    <w:pPr>
      <w:spacing w:after="0" w:line="240" w:lineRule="auto"/>
    </w:pPr>
  </w:style>
  <w:style w:type="paragraph" w:styleId="Prrafodelista">
    <w:name w:val="List Paragraph"/>
    <w:basedOn w:val="Normal"/>
    <w:uiPriority w:val="34"/>
    <w:qFormat/>
    <w:rsid w:val="002A0F5B"/>
    <w:pPr>
      <w:ind w:left="720"/>
      <w:contextualSpacing/>
    </w:pPr>
  </w:style>
  <w:style w:type="paragraph" w:styleId="Textodeglobo">
    <w:name w:val="Balloon Text"/>
    <w:basedOn w:val="Normal"/>
    <w:link w:val="TextodegloboCar"/>
    <w:uiPriority w:val="99"/>
    <w:semiHidden/>
    <w:unhideWhenUsed/>
    <w:rsid w:val="00F37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7D62"/>
    <w:rPr>
      <w:rFonts w:ascii="Segoe UI" w:hAnsi="Segoe UI" w:cs="Segoe UI"/>
      <w:sz w:val="18"/>
      <w:szCs w:val="18"/>
    </w:rPr>
  </w:style>
  <w:style w:type="character" w:styleId="Refdecomentario">
    <w:name w:val="annotation reference"/>
    <w:basedOn w:val="Fuentedeprrafopredeter"/>
    <w:uiPriority w:val="99"/>
    <w:semiHidden/>
    <w:unhideWhenUsed/>
    <w:rsid w:val="00D23934"/>
    <w:rPr>
      <w:sz w:val="16"/>
      <w:szCs w:val="16"/>
    </w:rPr>
  </w:style>
  <w:style w:type="paragraph" w:styleId="Textocomentario">
    <w:name w:val="annotation text"/>
    <w:basedOn w:val="Normal"/>
    <w:link w:val="TextocomentarioCar"/>
    <w:uiPriority w:val="99"/>
    <w:unhideWhenUsed/>
    <w:rsid w:val="00D23934"/>
    <w:pPr>
      <w:spacing w:line="240" w:lineRule="auto"/>
    </w:pPr>
    <w:rPr>
      <w:sz w:val="20"/>
      <w:szCs w:val="20"/>
    </w:rPr>
  </w:style>
  <w:style w:type="character" w:customStyle="1" w:styleId="TextocomentarioCar">
    <w:name w:val="Texto comentario Car"/>
    <w:basedOn w:val="Fuentedeprrafopredeter"/>
    <w:link w:val="Textocomentario"/>
    <w:uiPriority w:val="99"/>
    <w:rsid w:val="00D23934"/>
    <w:rPr>
      <w:sz w:val="20"/>
      <w:szCs w:val="20"/>
    </w:rPr>
  </w:style>
  <w:style w:type="paragraph" w:styleId="Asuntodelcomentario">
    <w:name w:val="annotation subject"/>
    <w:basedOn w:val="Textocomentario"/>
    <w:next w:val="Textocomentario"/>
    <w:link w:val="AsuntodelcomentarioCar"/>
    <w:uiPriority w:val="99"/>
    <w:semiHidden/>
    <w:unhideWhenUsed/>
    <w:rsid w:val="00D23934"/>
    <w:rPr>
      <w:b/>
      <w:bCs/>
    </w:rPr>
  </w:style>
  <w:style w:type="character" w:customStyle="1" w:styleId="AsuntodelcomentarioCar">
    <w:name w:val="Asunto del comentario Car"/>
    <w:basedOn w:val="TextocomentarioCar"/>
    <w:link w:val="Asuntodelcomentario"/>
    <w:uiPriority w:val="99"/>
    <w:semiHidden/>
    <w:rsid w:val="00D2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95530">
      <w:bodyDiv w:val="1"/>
      <w:marLeft w:val="0"/>
      <w:marRight w:val="0"/>
      <w:marTop w:val="0"/>
      <w:marBottom w:val="0"/>
      <w:divBdr>
        <w:top w:val="none" w:sz="0" w:space="0" w:color="auto"/>
        <w:left w:val="none" w:sz="0" w:space="0" w:color="auto"/>
        <w:bottom w:val="none" w:sz="0" w:space="0" w:color="auto"/>
        <w:right w:val="none" w:sz="0" w:space="0" w:color="auto"/>
      </w:divBdr>
    </w:div>
    <w:div w:id="492916407">
      <w:bodyDiv w:val="1"/>
      <w:marLeft w:val="0"/>
      <w:marRight w:val="0"/>
      <w:marTop w:val="0"/>
      <w:marBottom w:val="0"/>
      <w:divBdr>
        <w:top w:val="none" w:sz="0" w:space="0" w:color="auto"/>
        <w:left w:val="none" w:sz="0" w:space="0" w:color="auto"/>
        <w:bottom w:val="none" w:sz="0" w:space="0" w:color="auto"/>
        <w:right w:val="none" w:sz="0" w:space="0" w:color="auto"/>
      </w:divBdr>
    </w:div>
    <w:div w:id="536897182">
      <w:bodyDiv w:val="1"/>
      <w:marLeft w:val="0"/>
      <w:marRight w:val="0"/>
      <w:marTop w:val="0"/>
      <w:marBottom w:val="0"/>
      <w:divBdr>
        <w:top w:val="none" w:sz="0" w:space="0" w:color="auto"/>
        <w:left w:val="none" w:sz="0" w:space="0" w:color="auto"/>
        <w:bottom w:val="none" w:sz="0" w:space="0" w:color="auto"/>
        <w:right w:val="none" w:sz="0" w:space="0" w:color="auto"/>
      </w:divBdr>
    </w:div>
    <w:div w:id="1362828482">
      <w:bodyDiv w:val="1"/>
      <w:marLeft w:val="0"/>
      <w:marRight w:val="0"/>
      <w:marTop w:val="0"/>
      <w:marBottom w:val="0"/>
      <w:divBdr>
        <w:top w:val="none" w:sz="0" w:space="0" w:color="auto"/>
        <w:left w:val="none" w:sz="0" w:space="0" w:color="auto"/>
        <w:bottom w:val="none" w:sz="0" w:space="0" w:color="auto"/>
        <w:right w:val="none" w:sz="0" w:space="0" w:color="auto"/>
      </w:divBdr>
    </w:div>
    <w:div w:id="1980379058">
      <w:bodyDiv w:val="1"/>
      <w:marLeft w:val="0"/>
      <w:marRight w:val="0"/>
      <w:marTop w:val="0"/>
      <w:marBottom w:val="0"/>
      <w:divBdr>
        <w:top w:val="none" w:sz="0" w:space="0" w:color="auto"/>
        <w:left w:val="none" w:sz="0" w:space="0" w:color="auto"/>
        <w:bottom w:val="none" w:sz="0" w:space="0" w:color="auto"/>
        <w:right w:val="none" w:sz="0" w:space="0" w:color="auto"/>
      </w:divBdr>
    </w:div>
    <w:div w:id="20641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10324</Words>
  <Characters>56787</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Agustina Bagnasco Rocha</dc:creator>
  <cp:keywords/>
  <dc:description/>
  <cp:lastModifiedBy>Maria Celeste Maldonado</cp:lastModifiedBy>
  <cp:revision>4</cp:revision>
  <dcterms:created xsi:type="dcterms:W3CDTF">2022-01-10T15:07:00Z</dcterms:created>
  <dcterms:modified xsi:type="dcterms:W3CDTF">2022-01-10T18:28:00Z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221e4-2706-4fcd-89cf-23b25a73246f_Enabled">
    <vt:lpwstr>true</vt:lpwstr>
  </property>
  <property fmtid="{D5CDD505-2E9C-101B-9397-08002B2CF9AE}" pid="3" name="MSIP_Label_b82221e4-2706-4fcd-89cf-23b25a73246f_SetDate">
    <vt:lpwstr>2022-01-05T18:58:32Z</vt:lpwstr>
  </property>
  <property fmtid="{D5CDD505-2E9C-101B-9397-08002B2CF9AE}" pid="4" name="MSIP_Label_b82221e4-2706-4fcd-89cf-23b25a73246f_Method">
    <vt:lpwstr>Privileged</vt:lpwstr>
  </property>
  <property fmtid="{D5CDD505-2E9C-101B-9397-08002B2CF9AE}" pid="5" name="MSIP_Label_b82221e4-2706-4fcd-89cf-23b25a73246f_Name">
    <vt:lpwstr>Información Pública</vt:lpwstr>
  </property>
  <property fmtid="{D5CDD505-2E9C-101B-9397-08002B2CF9AE}" pid="6" name="MSIP_Label_b82221e4-2706-4fcd-89cf-23b25a73246f_SiteId">
    <vt:lpwstr>59132fa3-6ab0-488a-a1b6-f8f96893d1b7</vt:lpwstr>
  </property>
  <property fmtid="{D5CDD505-2E9C-101B-9397-08002B2CF9AE}" pid="7" name="MSIP_Label_b82221e4-2706-4fcd-89cf-23b25a73246f_ActionId">
    <vt:lpwstr>86b01975-2d3f-4db5-9963-1fa4737555bc</vt:lpwstr>
  </property>
  <property fmtid="{D5CDD505-2E9C-101B-9397-08002B2CF9AE}" pid="8" name="MSIP_Label_b82221e4-2706-4fcd-89cf-23b25a73246f_ContentBits">
    <vt:lpwstr>0</vt:lpwstr>
  </property>
</Properties>
</file>